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8843C">
      <w:pPr>
        <w:pStyle w:val="21"/>
        <w:keepNext w:val="0"/>
        <w:keepLines w:val="0"/>
        <w:pageBreakBefore w:val="0"/>
        <w:widowControl w:val="0"/>
        <w:numPr>
          <w:ilvl w:val="0"/>
          <w:numId w:val="0"/>
        </w:numPr>
        <w:shd w:val="clear"/>
        <w:kinsoku/>
        <w:wordWrap/>
        <w:overflowPunct/>
        <w:topLinePunct w:val="0"/>
        <w:autoSpaceDE/>
        <w:autoSpaceDN/>
        <w:bidi w:val="0"/>
        <w:adjustRightInd/>
        <w:snapToGrid/>
        <w:spacing w:line="720" w:lineRule="auto"/>
        <w:jc w:val="center"/>
        <w:textAlignment w:val="auto"/>
        <w:outlineLvl w:val="0"/>
        <w:rPr>
          <w:rFonts w:hint="eastAsia" w:ascii="方正小标宋简体" w:hAnsi="方正小标宋简体" w:eastAsia="方正小标宋简体" w:cs="方正小标宋简体"/>
          <w:color w:val="000000" w:themeColor="text1"/>
          <w:sz w:val="48"/>
          <w:szCs w:val="48"/>
          <w:highlight w:val="none"/>
          <w:lang w:val="en-US" w:eastAsia="zh-CN"/>
          <w14:textFill>
            <w14:solidFill>
              <w14:schemeClr w14:val="tx1"/>
            </w14:solidFill>
          </w14:textFill>
        </w:rPr>
      </w:pPr>
      <w:bookmarkStart w:id="0" w:name="_Toc10491"/>
      <w:r>
        <w:rPr>
          <w:rFonts w:hint="eastAsia" w:ascii="方正小标宋简体" w:hAnsi="方正小标宋简体" w:eastAsia="方正小标宋简体" w:cs="方正小标宋简体"/>
          <w:color w:val="000000" w:themeColor="text1"/>
          <w:sz w:val="48"/>
          <w:szCs w:val="48"/>
          <w:highlight w:val="none"/>
          <w:lang w:val="en-US" w:eastAsia="zh-CN"/>
          <w14:textFill>
            <w14:solidFill>
              <w14:schemeClr w14:val="tx1"/>
            </w14:solidFill>
          </w14:textFill>
        </w:rPr>
        <w:t>江苏盐城农村商业银行股份有限公司</w:t>
      </w:r>
      <w:bookmarkEnd w:id="0"/>
    </w:p>
    <w:p w14:paraId="38829546">
      <w:pPr>
        <w:pStyle w:val="21"/>
        <w:keepNext w:val="0"/>
        <w:keepLines w:val="0"/>
        <w:pageBreakBefore w:val="0"/>
        <w:widowControl w:val="0"/>
        <w:numPr>
          <w:ilvl w:val="0"/>
          <w:numId w:val="0"/>
        </w:numPr>
        <w:shd w:val="clear"/>
        <w:kinsoku/>
        <w:wordWrap/>
        <w:overflowPunct/>
        <w:topLinePunct w:val="0"/>
        <w:autoSpaceDE/>
        <w:autoSpaceDN/>
        <w:bidi w:val="0"/>
        <w:adjustRightInd/>
        <w:snapToGrid/>
        <w:spacing w:line="720" w:lineRule="auto"/>
        <w:jc w:val="center"/>
        <w:textAlignment w:val="auto"/>
        <w:outlineLvl w:val="0"/>
        <w:rPr>
          <w:rFonts w:hint="eastAsia" w:ascii="方正小标宋简体" w:hAnsi="方正小标宋简体" w:eastAsia="方正小标宋简体" w:cs="方正小标宋简体"/>
          <w:color w:val="000000" w:themeColor="text1"/>
          <w:sz w:val="48"/>
          <w:szCs w:val="48"/>
          <w:highlight w:val="none"/>
          <w:lang w:val="en-US" w:eastAsia="zh-CN"/>
          <w14:textFill>
            <w14:solidFill>
              <w14:schemeClr w14:val="tx1"/>
            </w14:solidFill>
          </w14:textFill>
        </w:rPr>
      </w:pPr>
      <w:bookmarkStart w:id="1" w:name="_Toc16585"/>
      <w:bookmarkStart w:id="2" w:name="_Toc2596"/>
      <w:bookmarkStart w:id="3" w:name="_Toc9067"/>
      <w:bookmarkStart w:id="4" w:name="_Toc4457"/>
      <w:bookmarkStart w:id="5" w:name="_Toc15809"/>
      <w:r>
        <w:rPr>
          <w:rFonts w:hint="eastAsia" w:ascii="方正小标宋简体" w:hAnsi="方正小标宋简体" w:eastAsia="方正小标宋简体" w:cs="方正小标宋简体"/>
          <w:color w:val="000000" w:themeColor="text1"/>
          <w:sz w:val="48"/>
          <w:szCs w:val="48"/>
          <w:highlight w:val="none"/>
          <w:lang w:val="en-US" w:eastAsia="zh-CN"/>
          <w14:textFill>
            <w14:solidFill>
              <w14:schemeClr w14:val="tx1"/>
            </w14:solidFill>
          </w14:textFill>
        </w:rPr>
        <w:t>2025年度</w:t>
      </w:r>
      <w:bookmarkEnd w:id="1"/>
      <w:bookmarkEnd w:id="2"/>
      <w:r>
        <w:rPr>
          <w:rFonts w:hint="eastAsia" w:ascii="方正小标宋简体" w:hAnsi="方正小标宋简体" w:eastAsia="方正小标宋简体" w:cs="方正小标宋简体"/>
          <w:color w:val="000000" w:themeColor="text1"/>
          <w:sz w:val="48"/>
          <w:szCs w:val="48"/>
          <w:highlight w:val="none"/>
          <w:lang w:val="en-US" w:eastAsia="zh-CN"/>
          <w14:textFill>
            <w14:solidFill>
              <w14:schemeClr w14:val="tx1"/>
            </w14:solidFill>
          </w14:textFill>
        </w:rPr>
        <w:t>环境信息披露报告</w:t>
      </w:r>
      <w:bookmarkEnd w:id="3"/>
      <w:bookmarkEnd w:id="4"/>
      <w:bookmarkEnd w:id="5"/>
    </w:p>
    <w:p w14:paraId="27C96746">
      <w:pPr>
        <w:pStyle w:val="21"/>
        <w:numPr>
          <w:ilvl w:val="0"/>
          <w:numId w:val="0"/>
        </w:numPr>
        <w:shd w:val="clear"/>
        <w:bidi w:val="0"/>
        <w:outlineLvl w:val="9"/>
        <w:rPr>
          <w:rFonts w:hint="default" w:ascii="Times New Roman" w:hAnsi="Times New Roman" w:cs="Times New Roman"/>
          <w:color w:val="000000" w:themeColor="text1"/>
          <w:sz w:val="48"/>
          <w:szCs w:val="28"/>
          <w:highlight w:val="none"/>
          <w:lang w:val="en-US" w:eastAsia="zh-CN"/>
          <w14:textFill>
            <w14:solidFill>
              <w14:schemeClr w14:val="tx1"/>
            </w14:solidFill>
          </w14:textFill>
        </w:rPr>
      </w:pPr>
    </w:p>
    <w:p w14:paraId="72D8C6A3">
      <w:pPr>
        <w:pStyle w:val="21"/>
        <w:numPr>
          <w:ilvl w:val="0"/>
          <w:numId w:val="0"/>
        </w:numPr>
        <w:shd w:val="clear"/>
        <w:bidi w:val="0"/>
        <w:outlineLvl w:val="9"/>
        <w:rPr>
          <w:rFonts w:hint="default" w:ascii="Times New Roman" w:hAnsi="Times New Roman" w:cs="Times New Roman"/>
          <w:color w:val="000000" w:themeColor="text1"/>
          <w:sz w:val="48"/>
          <w:szCs w:val="28"/>
          <w:highlight w:val="none"/>
          <w:lang w:val="en-US" w:eastAsia="zh-CN"/>
          <w14:textFill>
            <w14:solidFill>
              <w14:schemeClr w14:val="tx1"/>
            </w14:solidFill>
          </w14:textFill>
        </w:rPr>
      </w:pPr>
    </w:p>
    <w:p w14:paraId="25169AC1">
      <w:pPr>
        <w:pStyle w:val="21"/>
        <w:numPr>
          <w:ilvl w:val="0"/>
          <w:numId w:val="0"/>
        </w:numPr>
        <w:shd w:val="clear"/>
        <w:bidi w:val="0"/>
        <w:outlineLvl w:val="9"/>
        <w:rPr>
          <w:rFonts w:hint="default" w:ascii="Times New Roman" w:hAnsi="Times New Roman" w:cs="Times New Roman"/>
          <w:color w:val="000000" w:themeColor="text1"/>
          <w:sz w:val="48"/>
          <w:szCs w:val="28"/>
          <w:highlight w:val="none"/>
          <w:lang w:val="en-US" w:eastAsia="zh-CN"/>
          <w14:textFill>
            <w14:solidFill>
              <w14:schemeClr w14:val="tx1"/>
            </w14:solidFill>
          </w14:textFill>
        </w:rPr>
      </w:pPr>
    </w:p>
    <w:p w14:paraId="0F0AEFC5">
      <w:pPr>
        <w:pStyle w:val="21"/>
        <w:numPr>
          <w:ilvl w:val="0"/>
          <w:numId w:val="0"/>
        </w:numPr>
        <w:shd w:val="clear"/>
        <w:bidi w:val="0"/>
        <w:outlineLvl w:val="9"/>
        <w:rPr>
          <w:rFonts w:hint="default" w:ascii="Times New Roman" w:hAnsi="Times New Roman" w:cs="Times New Roman"/>
          <w:color w:val="000000" w:themeColor="text1"/>
          <w:sz w:val="48"/>
          <w:szCs w:val="28"/>
          <w:highlight w:val="none"/>
          <w:lang w:val="en-US" w:eastAsia="zh-CN"/>
          <w14:textFill>
            <w14:solidFill>
              <w14:schemeClr w14:val="tx1"/>
            </w14:solidFill>
          </w14:textFill>
        </w:rPr>
      </w:pPr>
    </w:p>
    <w:p w14:paraId="0115CFA3">
      <w:pPr>
        <w:pStyle w:val="21"/>
        <w:numPr>
          <w:ilvl w:val="0"/>
          <w:numId w:val="0"/>
        </w:numPr>
        <w:shd w:val="clear"/>
        <w:bidi w:val="0"/>
        <w:outlineLvl w:val="9"/>
        <w:rPr>
          <w:rFonts w:hint="default" w:ascii="Times New Roman" w:hAnsi="Times New Roman" w:cs="Times New Roman"/>
          <w:color w:val="000000" w:themeColor="text1"/>
          <w:sz w:val="48"/>
          <w:szCs w:val="28"/>
          <w:highlight w:val="none"/>
          <w:lang w:val="en-US" w:eastAsia="zh-CN"/>
          <w14:textFill>
            <w14:solidFill>
              <w14:schemeClr w14:val="tx1"/>
            </w14:solidFill>
          </w14:textFill>
        </w:rPr>
      </w:pPr>
    </w:p>
    <w:p w14:paraId="221F91E2">
      <w:pPr>
        <w:pStyle w:val="21"/>
        <w:numPr>
          <w:ilvl w:val="0"/>
          <w:numId w:val="0"/>
        </w:numPr>
        <w:shd w:val="clear"/>
        <w:bidi w:val="0"/>
        <w:outlineLvl w:val="9"/>
        <w:rPr>
          <w:rFonts w:hint="default" w:ascii="Times New Roman" w:hAnsi="Times New Roman" w:cs="Times New Roman"/>
          <w:color w:val="000000" w:themeColor="text1"/>
          <w:sz w:val="48"/>
          <w:szCs w:val="28"/>
          <w:highlight w:val="none"/>
          <w:lang w:val="en-US" w:eastAsia="zh-CN"/>
          <w14:textFill>
            <w14:solidFill>
              <w14:schemeClr w14:val="tx1"/>
            </w14:solidFill>
          </w14:textFill>
        </w:rPr>
      </w:pPr>
    </w:p>
    <w:p w14:paraId="3C1EA8FD">
      <w:pPr>
        <w:pStyle w:val="21"/>
        <w:numPr>
          <w:ilvl w:val="0"/>
          <w:numId w:val="0"/>
        </w:numPr>
        <w:shd w:val="clear"/>
        <w:bidi w:val="0"/>
        <w:outlineLvl w:val="9"/>
        <w:rPr>
          <w:rFonts w:hint="default" w:ascii="Times New Roman" w:hAnsi="Times New Roman" w:cs="Times New Roman"/>
          <w:color w:val="000000" w:themeColor="text1"/>
          <w:sz w:val="48"/>
          <w:szCs w:val="28"/>
          <w:highlight w:val="none"/>
          <w:lang w:val="en-US" w:eastAsia="zh-CN"/>
          <w14:textFill>
            <w14:solidFill>
              <w14:schemeClr w14:val="tx1"/>
            </w14:solidFill>
          </w14:textFill>
        </w:rPr>
      </w:pPr>
    </w:p>
    <w:p w14:paraId="1FB31B6E">
      <w:pPr>
        <w:pStyle w:val="21"/>
        <w:numPr>
          <w:ilvl w:val="0"/>
          <w:numId w:val="0"/>
        </w:numPr>
        <w:shd w:val="clear"/>
        <w:bidi w:val="0"/>
        <w:outlineLvl w:val="9"/>
        <w:rPr>
          <w:rFonts w:hint="default" w:ascii="Times New Roman" w:hAnsi="Times New Roman" w:cs="Times New Roman"/>
          <w:color w:val="000000" w:themeColor="text1"/>
          <w:sz w:val="48"/>
          <w:szCs w:val="28"/>
          <w:highlight w:val="none"/>
          <w:lang w:val="en-US" w:eastAsia="zh-CN"/>
          <w14:textFill>
            <w14:solidFill>
              <w14:schemeClr w14:val="tx1"/>
            </w14:solidFill>
          </w14:textFill>
        </w:rPr>
      </w:pPr>
    </w:p>
    <w:p w14:paraId="17359A5B">
      <w:pPr>
        <w:pStyle w:val="21"/>
        <w:numPr>
          <w:ilvl w:val="0"/>
          <w:numId w:val="0"/>
        </w:numPr>
        <w:shd w:val="clear"/>
        <w:bidi w:val="0"/>
        <w:outlineLvl w:val="9"/>
        <w:rPr>
          <w:rFonts w:hint="default" w:ascii="Times New Roman" w:hAnsi="Times New Roman" w:cs="Times New Roman"/>
          <w:color w:val="000000" w:themeColor="text1"/>
          <w:sz w:val="48"/>
          <w:szCs w:val="28"/>
          <w:highlight w:val="none"/>
          <w:lang w:val="en-US" w:eastAsia="zh-CN"/>
          <w14:textFill>
            <w14:solidFill>
              <w14:schemeClr w14:val="tx1"/>
            </w14:solidFill>
          </w14:textFill>
        </w:rPr>
      </w:pPr>
    </w:p>
    <w:p w14:paraId="29DCAD08">
      <w:pPr>
        <w:pStyle w:val="21"/>
        <w:numPr>
          <w:ilvl w:val="0"/>
          <w:numId w:val="0"/>
        </w:numPr>
        <w:shd w:val="clear"/>
        <w:bidi w:val="0"/>
        <w:outlineLvl w:val="9"/>
        <w:rPr>
          <w:rFonts w:hint="default" w:ascii="Times New Roman" w:hAnsi="Times New Roman" w:cs="Times New Roman"/>
          <w:color w:val="000000" w:themeColor="text1"/>
          <w:sz w:val="48"/>
          <w:szCs w:val="28"/>
          <w:highlight w:val="none"/>
          <w:lang w:val="en-US" w:eastAsia="zh-CN"/>
          <w14:textFill>
            <w14:solidFill>
              <w14:schemeClr w14:val="tx1"/>
            </w14:solidFill>
          </w14:textFill>
        </w:rPr>
      </w:pPr>
    </w:p>
    <w:p w14:paraId="76A6B7A1">
      <w:pPr>
        <w:pStyle w:val="21"/>
        <w:numPr>
          <w:ilvl w:val="0"/>
          <w:numId w:val="0"/>
        </w:numPr>
        <w:shd w:val="clear"/>
        <w:bidi w:val="0"/>
        <w:outlineLvl w:val="9"/>
        <w:rPr>
          <w:rFonts w:hint="default" w:ascii="Times New Roman" w:hAnsi="Times New Roman" w:cs="Times New Roman"/>
          <w:color w:val="000000" w:themeColor="text1"/>
          <w:sz w:val="48"/>
          <w:szCs w:val="28"/>
          <w:highlight w:val="none"/>
          <w:lang w:val="en-US" w:eastAsia="zh-CN"/>
          <w14:textFill>
            <w14:solidFill>
              <w14:schemeClr w14:val="tx1"/>
            </w14:solidFill>
          </w14:textFill>
        </w:rPr>
      </w:pPr>
    </w:p>
    <w:p w14:paraId="26AB1149">
      <w:pPr>
        <w:pStyle w:val="21"/>
        <w:numPr>
          <w:ilvl w:val="0"/>
          <w:numId w:val="0"/>
        </w:numPr>
        <w:shd w:val="clear"/>
        <w:bidi w:val="0"/>
        <w:outlineLvl w:val="9"/>
        <w:rPr>
          <w:rFonts w:hint="default" w:ascii="Times New Roman" w:hAnsi="Times New Roman" w:cs="Times New Roman"/>
          <w:color w:val="000000" w:themeColor="text1"/>
          <w:sz w:val="48"/>
          <w:szCs w:val="28"/>
          <w:highlight w:val="none"/>
          <w:lang w:val="en-US" w:eastAsia="zh-CN"/>
          <w14:textFill>
            <w14:solidFill>
              <w14:schemeClr w14:val="tx1"/>
            </w14:solidFill>
          </w14:textFill>
        </w:rPr>
      </w:pPr>
    </w:p>
    <w:p w14:paraId="35D86B7B">
      <w:pPr>
        <w:pStyle w:val="21"/>
        <w:numPr>
          <w:ilvl w:val="0"/>
          <w:numId w:val="0"/>
        </w:numPr>
        <w:shd w:val="clear"/>
        <w:bidi w:val="0"/>
        <w:jc w:val="both"/>
        <w:outlineLvl w:val="9"/>
        <w:rPr>
          <w:rFonts w:hint="default" w:ascii="Times New Roman" w:hAnsi="Times New Roman" w:cs="Times New Roman"/>
          <w:color w:val="000000" w:themeColor="text1"/>
          <w:sz w:val="48"/>
          <w:szCs w:val="28"/>
          <w:highlight w:val="none"/>
          <w:lang w:val="en-US" w:eastAsia="zh-CN"/>
          <w14:textFill>
            <w14:solidFill>
              <w14:schemeClr w14:val="tx1"/>
            </w14:solidFill>
          </w14:textFill>
        </w:rPr>
      </w:pPr>
    </w:p>
    <w:p w14:paraId="1ACF4A33">
      <w:pPr>
        <w:pStyle w:val="21"/>
        <w:numPr>
          <w:ilvl w:val="0"/>
          <w:numId w:val="0"/>
        </w:numPr>
        <w:shd w:val="clear"/>
        <w:bidi w:val="0"/>
        <w:jc w:val="both"/>
        <w:outlineLvl w:val="9"/>
        <w:rPr>
          <w:rFonts w:hint="default" w:ascii="Times New Roman" w:hAnsi="Times New Roman" w:cs="Times New Roman"/>
          <w:color w:val="000000" w:themeColor="text1"/>
          <w:sz w:val="48"/>
          <w:szCs w:val="28"/>
          <w:highlight w:val="none"/>
          <w:lang w:val="en-US" w:eastAsia="zh-CN"/>
          <w14:textFill>
            <w14:solidFill>
              <w14:schemeClr w14:val="tx1"/>
            </w14:solidFill>
          </w14:textFill>
        </w:rPr>
      </w:pPr>
    </w:p>
    <w:p w14:paraId="024F4159">
      <w:pPr>
        <w:pStyle w:val="21"/>
        <w:numPr>
          <w:ilvl w:val="0"/>
          <w:numId w:val="0"/>
        </w:numPr>
        <w:shd w:val="clear"/>
        <w:bidi w:val="0"/>
        <w:outlineLvl w:val="9"/>
        <w:rPr>
          <w:rFonts w:hint="default" w:ascii="Times New Roman" w:hAnsi="Times New Roman" w:cs="Times New Roman"/>
          <w:color w:val="000000" w:themeColor="text1"/>
          <w:sz w:val="48"/>
          <w:szCs w:val="28"/>
          <w:highlight w:val="none"/>
          <w:lang w:val="en-US" w:eastAsia="zh-CN"/>
          <w14:textFill>
            <w14:solidFill>
              <w14:schemeClr w14:val="tx1"/>
            </w14:solidFill>
          </w14:textFill>
        </w:rPr>
      </w:pPr>
    </w:p>
    <w:p w14:paraId="19DF75B4">
      <w:pPr>
        <w:pStyle w:val="21"/>
        <w:keepNext w:val="0"/>
        <w:keepLines w:val="0"/>
        <w:pageBreakBefore w:val="0"/>
        <w:widowControl w:val="0"/>
        <w:numPr>
          <w:ilvl w:val="0"/>
          <w:numId w:val="0"/>
        </w:numPr>
        <w:shd w:val="clear"/>
        <w:kinsoku/>
        <w:wordWrap/>
        <w:overflowPunct/>
        <w:topLinePunct w:val="0"/>
        <w:autoSpaceDE/>
        <w:autoSpaceDN/>
        <w:bidi w:val="0"/>
        <w:adjustRightInd/>
        <w:snapToGrid/>
        <w:spacing w:line="480" w:lineRule="exact"/>
        <w:jc w:val="center"/>
        <w:textAlignment w:val="auto"/>
        <w:outlineLvl w:val="0"/>
        <w:rPr>
          <w:rFonts w:hint="eastAsia" w:ascii="华文楷体" w:hAnsi="华文楷体" w:eastAsia="华文楷体" w:cs="华文楷体"/>
          <w:color w:val="000000" w:themeColor="text1"/>
          <w:sz w:val="36"/>
          <w:szCs w:val="21"/>
          <w:highlight w:val="none"/>
          <w:lang w:val="en-US" w:eastAsia="zh-CN"/>
          <w14:textFill>
            <w14:solidFill>
              <w14:schemeClr w14:val="tx1"/>
            </w14:solidFill>
          </w14:textFill>
        </w:rPr>
      </w:pPr>
      <w:bookmarkStart w:id="6" w:name="_Toc8257"/>
      <w:r>
        <w:rPr>
          <w:rFonts w:hint="eastAsia" w:ascii="华文楷体" w:hAnsi="华文楷体" w:eastAsia="华文楷体" w:cs="华文楷体"/>
          <w:color w:val="000000" w:themeColor="text1"/>
          <w:sz w:val="36"/>
          <w:szCs w:val="36"/>
          <w:highlight w:val="none"/>
          <w:lang w:val="en-US" w:eastAsia="zh-CN"/>
          <w14:textFill>
            <w14:solidFill>
              <w14:schemeClr w14:val="tx1"/>
            </w14:solidFill>
          </w14:textFill>
        </w:rPr>
        <w:t>江苏盐城农村商业银行股份有限公司</w:t>
      </w:r>
      <w:bookmarkEnd w:id="6"/>
    </w:p>
    <w:p w14:paraId="5921E1F8">
      <w:pPr>
        <w:pStyle w:val="21"/>
        <w:keepNext w:val="0"/>
        <w:keepLines w:val="0"/>
        <w:pageBreakBefore w:val="0"/>
        <w:widowControl w:val="0"/>
        <w:numPr>
          <w:ilvl w:val="0"/>
          <w:numId w:val="0"/>
        </w:numPr>
        <w:shd w:val="clear"/>
        <w:kinsoku/>
        <w:wordWrap/>
        <w:overflowPunct/>
        <w:topLinePunct w:val="0"/>
        <w:autoSpaceDE/>
        <w:autoSpaceDN/>
        <w:bidi w:val="0"/>
        <w:adjustRightInd/>
        <w:snapToGrid/>
        <w:spacing w:line="480" w:lineRule="exact"/>
        <w:jc w:val="center"/>
        <w:textAlignment w:val="auto"/>
        <w:outlineLvl w:val="0"/>
        <w:rPr>
          <w:rFonts w:hint="eastAsia" w:ascii="华文楷体" w:hAnsi="华文楷体" w:eastAsia="华文楷体" w:cs="华文楷体"/>
          <w:color w:val="000000" w:themeColor="text1"/>
          <w:sz w:val="36"/>
          <w:szCs w:val="21"/>
          <w:highlight w:val="none"/>
          <w:lang w:val="en-US" w:eastAsia="zh-CN"/>
          <w14:textFill>
            <w14:solidFill>
              <w14:schemeClr w14:val="tx1"/>
            </w14:solidFill>
          </w14:textFill>
        </w:rPr>
        <w:sectPr>
          <w:head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bookmarkStart w:id="7" w:name="_Toc7042"/>
      <w:r>
        <w:rPr>
          <w:rFonts w:hint="eastAsia" w:ascii="华文楷体" w:hAnsi="华文楷体" w:eastAsia="华文楷体" w:cs="华文楷体"/>
          <w:color w:val="000000" w:themeColor="text1"/>
          <w:sz w:val="36"/>
          <w:szCs w:val="21"/>
          <w:highlight w:val="none"/>
          <w:lang w:val="en-US" w:eastAsia="zh-CN"/>
          <w14:textFill>
            <w14:solidFill>
              <w14:schemeClr w14:val="tx1"/>
            </w14:solidFill>
          </w14:textFill>
        </w:rPr>
        <w:t>2026年7月</w:t>
      </w:r>
      <w:bookmarkEnd w:id="7"/>
    </w:p>
    <w:sdt>
      <w:sdtPr>
        <w:rPr>
          <w:rFonts w:ascii="宋体" w:hAnsi="宋体" w:eastAsia="宋体" w:cstheme="minorBidi"/>
          <w:kern w:val="2"/>
          <w:sz w:val="21"/>
          <w:szCs w:val="22"/>
          <w:lang w:val="en-US" w:eastAsia="zh-CN" w:bidi="ar-SA"/>
        </w:rPr>
        <w:id w:val="147450997"/>
        <w15:color w:val="DBDBDB"/>
        <w:docPartObj>
          <w:docPartGallery w:val="Table of Contents"/>
          <w:docPartUnique/>
        </w:docPartObj>
      </w:sdtPr>
      <w:sdtEndPr>
        <w:rPr>
          <w:rFonts w:hint="eastAsia" w:ascii="黑体" w:hAnsi="黑体" w:eastAsia="黑体" w:cs="黑体"/>
          <w:bCs/>
          <w:color w:val="000000" w:themeColor="text1"/>
          <w:kern w:val="2"/>
          <w:sz w:val="32"/>
          <w:szCs w:val="36"/>
          <w:highlight w:val="none"/>
          <w:lang w:val="en-US" w:eastAsia="zh-CN" w:bidi="ar-SA"/>
          <w14:textFill>
            <w14:solidFill>
              <w14:schemeClr w14:val="tx1"/>
            </w14:solidFill>
          </w14:textFill>
        </w:rPr>
      </w:sdtEndPr>
      <w:sdtContent>
        <w:p w14:paraId="0C2C97C1">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14:paraId="2F6B8DFA">
          <w:pPr>
            <w:spacing w:before="0" w:beforeLines="0" w:after="0" w:afterLines="0" w:line="240" w:lineRule="auto"/>
            <w:ind w:left="0" w:leftChars="0" w:right="0" w:rightChars="0" w:firstLine="0" w:firstLineChars="0"/>
            <w:jc w:val="center"/>
            <w:rPr>
              <w:rFonts w:ascii="宋体" w:hAnsi="宋体" w:eastAsia="宋体"/>
              <w:b/>
              <w:bCs/>
              <w:sz w:val="40"/>
              <w:szCs w:val="44"/>
            </w:rPr>
          </w:pPr>
          <w:r>
            <w:rPr>
              <w:rFonts w:ascii="宋体" w:hAnsi="宋体" w:eastAsia="宋体"/>
              <w:b/>
              <w:bCs/>
              <w:sz w:val="40"/>
              <w:szCs w:val="44"/>
            </w:rPr>
            <w:t>目录</w:t>
          </w:r>
        </w:p>
        <w:p w14:paraId="2DC67093">
          <w:pPr>
            <w:spacing w:before="0" w:beforeLines="0" w:after="0" w:afterLines="0" w:line="240" w:lineRule="auto"/>
            <w:ind w:left="0" w:leftChars="0" w:right="0" w:rightChars="0" w:firstLine="0" w:firstLineChars="0"/>
            <w:jc w:val="center"/>
            <w:rPr>
              <w:rFonts w:hint="eastAsia" w:ascii="黑体" w:hAnsi="黑体" w:eastAsia="黑体" w:cs="黑体"/>
              <w:b/>
              <w:bCs/>
              <w:color w:val="000000" w:themeColor="text1"/>
              <w:sz w:val="36"/>
              <w:szCs w:val="36"/>
              <w:highlight w:val="none"/>
              <w:lang w:val="en-US" w:eastAsia="zh-CN"/>
              <w14:textFill>
                <w14:solidFill>
                  <w14:schemeClr w14:val="tx1"/>
                </w14:solidFill>
              </w14:textFill>
            </w:rPr>
          </w:pPr>
        </w:p>
        <w:p w14:paraId="189D1ABB">
          <w:pPr>
            <w:spacing w:before="0" w:beforeLines="0" w:after="0" w:afterLines="0" w:line="240" w:lineRule="auto"/>
            <w:ind w:left="0" w:leftChars="0" w:right="0" w:rightChars="0" w:firstLine="0" w:firstLineChars="0"/>
            <w:jc w:val="center"/>
          </w:pPr>
          <w:r>
            <w:rPr>
              <w:rFonts w:hint="eastAsia" w:ascii="黑体" w:hAnsi="黑体" w:eastAsia="黑体" w:cs="黑体"/>
              <w:b/>
              <w:bCs/>
              <w:color w:val="000000" w:themeColor="text1"/>
              <w:sz w:val="36"/>
              <w:szCs w:val="36"/>
              <w:highlight w:val="none"/>
              <w:lang w:val="en-US" w:eastAsia="zh-CN"/>
              <w14:textFill>
                <w14:solidFill>
                  <w14:schemeClr w14:val="tx1"/>
                </w14:solidFill>
              </w14:textFill>
            </w:rPr>
            <w:fldChar w:fldCharType="begin"/>
          </w:r>
          <w:r>
            <w:rPr>
              <w:rFonts w:hint="eastAsia" w:ascii="黑体" w:hAnsi="黑体" w:eastAsia="黑体" w:cs="黑体"/>
              <w:b/>
              <w:bCs/>
              <w:color w:val="000000" w:themeColor="text1"/>
              <w:sz w:val="36"/>
              <w:szCs w:val="36"/>
              <w:highlight w:val="none"/>
              <w:lang w:val="en-US" w:eastAsia="zh-CN"/>
              <w14:textFill>
                <w14:solidFill>
                  <w14:schemeClr w14:val="tx1"/>
                </w14:solidFill>
              </w14:textFill>
            </w:rPr>
            <w:instrText xml:space="preserve">TOC \o "1-3" \h \u </w:instrText>
          </w:r>
          <w:r>
            <w:rPr>
              <w:rFonts w:hint="eastAsia" w:ascii="黑体" w:hAnsi="黑体" w:eastAsia="黑体" w:cs="黑体"/>
              <w:b/>
              <w:bCs/>
              <w:color w:val="000000" w:themeColor="text1"/>
              <w:sz w:val="36"/>
              <w:szCs w:val="36"/>
              <w:highlight w:val="none"/>
              <w:lang w:val="en-US" w:eastAsia="zh-CN"/>
              <w14:textFill>
                <w14:solidFill>
                  <w14:schemeClr w14:val="tx1"/>
                </w14:solidFill>
              </w14:textFill>
            </w:rPr>
            <w:fldChar w:fldCharType="separate"/>
          </w:r>
        </w:p>
        <w:p w14:paraId="2CE222B9">
          <w:pPr>
            <w:pStyle w:val="11"/>
            <w:tabs>
              <w:tab w:val="right" w:leader="dot" w:pos="8306"/>
            </w:tabs>
            <w:rPr>
              <w:rFonts w:hint="eastAsia" w:ascii="黑体" w:hAnsi="黑体" w:eastAsia="黑体" w:cs="黑体"/>
              <w:b w:val="0"/>
              <w:bCs/>
              <w:sz w:val="28"/>
              <w:szCs w:val="28"/>
            </w:rPr>
          </w:pP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begin"/>
          </w:r>
          <w:r>
            <w:rPr>
              <w:rFonts w:hint="eastAsia" w:ascii="黑体" w:hAnsi="黑体" w:eastAsia="黑体" w:cs="黑体"/>
              <w:b w:val="0"/>
              <w:bCs/>
              <w:sz w:val="28"/>
              <w:szCs w:val="28"/>
              <w:highlight w:val="none"/>
              <w:lang w:val="en-US" w:eastAsia="zh-CN"/>
            </w:rPr>
            <w:instrText xml:space="preserve"> HYPERLINK \l _Toc29138 </w:instrText>
          </w:r>
          <w:r>
            <w:rPr>
              <w:rFonts w:hint="eastAsia" w:ascii="黑体" w:hAnsi="黑体" w:eastAsia="黑体" w:cs="黑体"/>
              <w:b w:val="0"/>
              <w:bCs/>
              <w:sz w:val="28"/>
              <w:szCs w:val="28"/>
              <w:highlight w:val="none"/>
              <w:lang w:val="en-US" w:eastAsia="zh-CN"/>
            </w:rPr>
            <w:fldChar w:fldCharType="separate"/>
          </w:r>
          <w:r>
            <w:rPr>
              <w:rFonts w:hint="eastAsia" w:ascii="黑体" w:hAnsi="黑体" w:eastAsia="黑体" w:cs="黑体"/>
              <w:b w:val="0"/>
              <w:bCs/>
              <w:sz w:val="28"/>
              <w:szCs w:val="28"/>
              <w:highlight w:val="none"/>
              <w:lang w:val="en-US" w:eastAsia="zh-CN"/>
            </w:rPr>
            <w:t>关于本报告</w:t>
          </w:r>
          <w:r>
            <w:rPr>
              <w:rFonts w:hint="eastAsia" w:ascii="黑体" w:hAnsi="黑体" w:eastAsia="黑体" w:cs="黑体"/>
              <w:b w:val="0"/>
              <w:bCs/>
              <w:sz w:val="28"/>
              <w:szCs w:val="28"/>
            </w:rPr>
            <w:tab/>
          </w:r>
          <w:r>
            <w:rPr>
              <w:rFonts w:hint="eastAsia" w:ascii="黑体" w:hAnsi="黑体" w:eastAsia="黑体" w:cs="黑体"/>
              <w:b w:val="0"/>
              <w:bCs/>
              <w:sz w:val="28"/>
              <w:szCs w:val="28"/>
              <w:lang w:val="en-US" w:eastAsia="zh-CN"/>
            </w:rPr>
            <w:t>1</w:t>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end"/>
          </w:r>
        </w:p>
        <w:p w14:paraId="4401E2DC">
          <w:pPr>
            <w:pStyle w:val="11"/>
            <w:tabs>
              <w:tab w:val="right" w:leader="dot" w:pos="8306"/>
            </w:tabs>
            <w:rPr>
              <w:rFonts w:hint="default" w:ascii="黑体" w:hAnsi="黑体" w:eastAsia="黑体" w:cs="黑体"/>
              <w:b w:val="0"/>
              <w:bCs/>
              <w:sz w:val="28"/>
              <w:szCs w:val="28"/>
              <w:lang w:val="en-US"/>
            </w:rPr>
          </w:pP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begin"/>
          </w:r>
          <w:r>
            <w:rPr>
              <w:rFonts w:hint="eastAsia" w:ascii="黑体" w:hAnsi="黑体" w:eastAsia="黑体" w:cs="黑体"/>
              <w:b w:val="0"/>
              <w:bCs/>
              <w:sz w:val="28"/>
              <w:szCs w:val="28"/>
              <w:highlight w:val="none"/>
              <w:lang w:val="en-US" w:eastAsia="zh-CN"/>
            </w:rPr>
            <w:instrText xml:space="preserve"> HYPERLINK \l _Toc15556 </w:instrText>
          </w:r>
          <w:r>
            <w:rPr>
              <w:rFonts w:hint="eastAsia" w:ascii="黑体" w:hAnsi="黑体" w:eastAsia="黑体" w:cs="黑体"/>
              <w:b w:val="0"/>
              <w:bCs/>
              <w:sz w:val="28"/>
              <w:szCs w:val="28"/>
              <w:highlight w:val="none"/>
              <w:lang w:val="en-US" w:eastAsia="zh-CN"/>
            </w:rPr>
            <w:fldChar w:fldCharType="separate"/>
          </w:r>
          <w:r>
            <w:rPr>
              <w:rFonts w:hint="eastAsia" w:ascii="黑体" w:hAnsi="黑体" w:eastAsia="黑体" w:cs="黑体"/>
              <w:b w:val="0"/>
              <w:bCs/>
              <w:sz w:val="28"/>
              <w:szCs w:val="28"/>
              <w:lang w:val="en-US" w:eastAsia="zh-CN"/>
            </w:rPr>
            <w:t>一、总体</w:t>
          </w:r>
          <w:r>
            <w:rPr>
              <w:rFonts w:hint="eastAsia" w:ascii="黑体" w:hAnsi="黑体" w:eastAsia="黑体" w:cs="黑体"/>
              <w:b w:val="0"/>
              <w:bCs/>
              <w:sz w:val="28"/>
              <w:szCs w:val="28"/>
            </w:rPr>
            <w:t>概况</w:t>
          </w:r>
          <w:r>
            <w:rPr>
              <w:rFonts w:hint="eastAsia" w:ascii="黑体" w:hAnsi="黑体" w:eastAsia="黑体" w:cs="黑体"/>
              <w:b w:val="0"/>
              <w:bCs/>
              <w:sz w:val="28"/>
              <w:szCs w:val="28"/>
            </w:rPr>
            <w:tab/>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end"/>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t>3</w:t>
          </w:r>
        </w:p>
        <w:p w14:paraId="340A6E2D">
          <w:pPr>
            <w:pStyle w:val="11"/>
            <w:tabs>
              <w:tab w:val="right" w:leader="dot" w:pos="8306"/>
            </w:tabs>
            <w:rPr>
              <w:rFonts w:hint="eastAsia" w:eastAsia="黑体"/>
              <w:lang w:val="en-US" w:eastAsia="zh-CN"/>
            </w:rPr>
          </w:pP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begin"/>
          </w:r>
          <w:r>
            <w:rPr>
              <w:rFonts w:hint="eastAsia" w:ascii="黑体" w:hAnsi="黑体" w:eastAsia="黑体" w:cs="黑体"/>
              <w:b w:val="0"/>
              <w:bCs/>
              <w:sz w:val="28"/>
              <w:szCs w:val="28"/>
              <w:highlight w:val="none"/>
              <w:lang w:val="en-US" w:eastAsia="zh-CN"/>
            </w:rPr>
            <w:instrText xml:space="preserve"> HYPERLINK \l _Toc18799 </w:instrText>
          </w:r>
          <w:r>
            <w:rPr>
              <w:rFonts w:hint="eastAsia" w:ascii="黑体" w:hAnsi="黑体" w:eastAsia="黑体" w:cs="黑体"/>
              <w:b w:val="0"/>
              <w:bCs/>
              <w:sz w:val="28"/>
              <w:szCs w:val="28"/>
              <w:highlight w:val="none"/>
              <w:lang w:val="en-US" w:eastAsia="zh-CN"/>
            </w:rPr>
            <w:fldChar w:fldCharType="separate"/>
          </w:r>
          <w:r>
            <w:rPr>
              <w:rFonts w:hint="eastAsia" w:ascii="黑体" w:hAnsi="黑体" w:eastAsia="黑体" w:cs="黑体"/>
              <w:b w:val="0"/>
              <w:bCs/>
              <w:sz w:val="28"/>
              <w:szCs w:val="28"/>
              <w:lang w:val="en-US" w:eastAsia="zh-CN"/>
            </w:rPr>
            <w:t>二、</w:t>
          </w:r>
          <w:r>
            <w:rPr>
              <w:rFonts w:hint="eastAsia" w:ascii="黑体" w:hAnsi="黑体" w:eastAsia="黑体" w:cs="黑体"/>
              <w:b w:val="0"/>
              <w:bCs/>
              <w:sz w:val="28"/>
              <w:szCs w:val="28"/>
              <w:highlight w:val="none"/>
              <w:lang w:val="en-US" w:eastAsia="zh-CN"/>
            </w:rPr>
            <w:t>环境相关治理结构</w:t>
          </w:r>
          <w:r>
            <w:rPr>
              <w:rFonts w:hint="eastAsia" w:ascii="黑体" w:hAnsi="黑体" w:eastAsia="黑体" w:cs="黑体"/>
              <w:b w:val="0"/>
              <w:bCs/>
              <w:sz w:val="28"/>
              <w:szCs w:val="28"/>
            </w:rPr>
            <w:tab/>
          </w:r>
          <w:r>
            <w:rPr>
              <w:rFonts w:hint="eastAsia" w:ascii="黑体" w:hAnsi="黑体" w:eastAsia="黑体" w:cs="黑体"/>
              <w:b w:val="0"/>
              <w:bCs/>
              <w:sz w:val="28"/>
              <w:szCs w:val="28"/>
              <w:lang w:val="en-US" w:eastAsia="zh-CN"/>
            </w:rPr>
            <w:t>4</w:t>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end"/>
          </w:r>
        </w:p>
        <w:p w14:paraId="73FA76D6">
          <w:pPr>
            <w:pStyle w:val="11"/>
            <w:tabs>
              <w:tab w:val="right" w:leader="dot" w:pos="8306"/>
            </w:tabs>
            <w:jc w:val="center"/>
            <w:rPr>
              <w:rFonts w:hint="eastAsia"/>
            </w:rPr>
          </w:pP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begin"/>
          </w:r>
          <w:r>
            <w:rPr>
              <w:rFonts w:hint="eastAsia" w:ascii="黑体" w:hAnsi="黑体" w:eastAsia="黑体" w:cs="黑体"/>
              <w:b w:val="0"/>
              <w:bCs/>
              <w:sz w:val="28"/>
              <w:szCs w:val="28"/>
              <w:highlight w:val="none"/>
              <w:lang w:val="en-US" w:eastAsia="zh-CN"/>
            </w:rPr>
            <w:instrText xml:space="preserve"> HYPERLINK \l _Toc23118 </w:instrText>
          </w:r>
          <w:r>
            <w:rPr>
              <w:rFonts w:hint="eastAsia" w:ascii="黑体" w:hAnsi="黑体" w:eastAsia="黑体" w:cs="黑体"/>
              <w:b w:val="0"/>
              <w:bCs/>
              <w:sz w:val="28"/>
              <w:szCs w:val="28"/>
              <w:highlight w:val="none"/>
              <w:lang w:val="en-US" w:eastAsia="zh-CN"/>
            </w:rPr>
            <w:fldChar w:fldCharType="separate"/>
          </w:r>
          <w:r>
            <w:rPr>
              <w:rFonts w:hint="eastAsia" w:ascii="黑体" w:hAnsi="黑体" w:eastAsia="黑体" w:cs="黑体"/>
              <w:b w:val="0"/>
              <w:bCs/>
              <w:sz w:val="28"/>
              <w:szCs w:val="28"/>
              <w:highlight w:val="none"/>
              <w:lang w:val="en-US" w:eastAsia="zh-CN"/>
            </w:rPr>
            <w:t>三</w:t>
          </w:r>
          <w:r>
            <w:rPr>
              <w:rFonts w:hint="eastAsia" w:ascii="黑体" w:hAnsi="黑体" w:eastAsia="黑体" w:cs="黑体"/>
              <w:b w:val="0"/>
              <w:bCs/>
              <w:sz w:val="28"/>
              <w:szCs w:val="28"/>
              <w:lang w:val="en-US" w:eastAsia="zh-CN"/>
            </w:rPr>
            <w:t>、</w:t>
          </w:r>
          <w:r>
            <w:rPr>
              <w:rFonts w:hint="eastAsia" w:ascii="黑体" w:hAnsi="黑体" w:eastAsia="黑体" w:cs="黑体"/>
              <w:b w:val="0"/>
              <w:bCs/>
              <w:sz w:val="28"/>
              <w:szCs w:val="28"/>
              <w:highlight w:val="none"/>
              <w:lang w:val="en-US" w:eastAsia="zh-CN"/>
            </w:rPr>
            <w:t>环境相关政策制度</w:t>
          </w:r>
          <w:r>
            <w:rPr>
              <w:rFonts w:hint="eastAsia" w:ascii="黑体" w:hAnsi="黑体" w:eastAsia="黑体" w:cs="黑体"/>
              <w:b w:val="0"/>
              <w:bCs/>
              <w:sz w:val="28"/>
              <w:szCs w:val="28"/>
            </w:rPr>
            <w:tab/>
          </w:r>
          <w:r>
            <w:rPr>
              <w:rFonts w:hint="eastAsia" w:ascii="黑体" w:hAnsi="黑体" w:eastAsia="黑体" w:cs="黑体"/>
              <w:b w:val="0"/>
              <w:bCs/>
              <w:sz w:val="28"/>
              <w:szCs w:val="28"/>
              <w:lang w:val="en-US" w:eastAsia="zh-CN"/>
            </w:rPr>
            <w:t>5</w:t>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end"/>
          </w:r>
        </w:p>
        <w:p w14:paraId="21FFCC1A">
          <w:pPr>
            <w:pStyle w:val="11"/>
            <w:tabs>
              <w:tab w:val="right" w:leader="dot" w:pos="8306"/>
            </w:tabs>
            <w:rPr>
              <w:rFonts w:hint="default"/>
              <w:lang w:val="en-US"/>
            </w:rPr>
          </w:pP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begin"/>
          </w:r>
          <w:r>
            <w:rPr>
              <w:rFonts w:hint="eastAsia" w:ascii="黑体" w:hAnsi="黑体" w:eastAsia="黑体" w:cs="黑体"/>
              <w:b w:val="0"/>
              <w:bCs/>
              <w:sz w:val="28"/>
              <w:szCs w:val="28"/>
              <w:highlight w:val="none"/>
              <w:lang w:val="en-US" w:eastAsia="zh-CN"/>
            </w:rPr>
            <w:instrText xml:space="preserve"> HYPERLINK \l _Toc9254 </w:instrText>
          </w:r>
          <w:r>
            <w:rPr>
              <w:rFonts w:hint="eastAsia" w:ascii="黑体" w:hAnsi="黑体" w:eastAsia="黑体" w:cs="黑体"/>
              <w:b w:val="0"/>
              <w:bCs/>
              <w:sz w:val="28"/>
              <w:szCs w:val="28"/>
              <w:highlight w:val="none"/>
              <w:lang w:val="en-US" w:eastAsia="zh-CN"/>
            </w:rPr>
            <w:fldChar w:fldCharType="separate"/>
          </w:r>
          <w:r>
            <w:rPr>
              <w:rFonts w:hint="eastAsia" w:ascii="黑体" w:hAnsi="黑体" w:eastAsia="黑体" w:cs="黑体"/>
              <w:b w:val="0"/>
              <w:bCs/>
              <w:sz w:val="28"/>
              <w:szCs w:val="28"/>
              <w:highlight w:val="none"/>
              <w:lang w:val="en-US" w:eastAsia="zh-CN"/>
            </w:rPr>
            <w:t>四</w:t>
          </w:r>
          <w:r>
            <w:rPr>
              <w:rFonts w:hint="eastAsia" w:ascii="黑体" w:hAnsi="黑体" w:eastAsia="黑体" w:cs="黑体"/>
              <w:b w:val="0"/>
              <w:bCs/>
              <w:sz w:val="28"/>
              <w:szCs w:val="28"/>
              <w:lang w:val="en-US" w:eastAsia="zh-CN"/>
            </w:rPr>
            <w:t>、</w:t>
          </w:r>
          <w:r>
            <w:rPr>
              <w:rFonts w:hint="eastAsia" w:ascii="黑体" w:hAnsi="黑体" w:eastAsia="黑体" w:cs="黑体"/>
              <w:b w:val="0"/>
              <w:bCs/>
              <w:sz w:val="28"/>
              <w:szCs w:val="28"/>
              <w:highlight w:val="none"/>
            </w:rPr>
            <w:t>环境相关</w:t>
          </w:r>
          <w:r>
            <w:rPr>
              <w:rFonts w:hint="eastAsia" w:ascii="黑体" w:hAnsi="黑体" w:eastAsia="黑体" w:cs="黑体"/>
              <w:b w:val="0"/>
              <w:bCs/>
              <w:sz w:val="28"/>
              <w:szCs w:val="28"/>
              <w:highlight w:val="none"/>
              <w:lang w:val="en-US" w:eastAsia="zh-CN"/>
            </w:rPr>
            <w:t>业务</w:t>
          </w:r>
          <w:r>
            <w:rPr>
              <w:rFonts w:hint="eastAsia" w:ascii="黑体" w:hAnsi="黑体" w:eastAsia="黑体" w:cs="黑体"/>
              <w:b w:val="0"/>
              <w:bCs/>
              <w:sz w:val="28"/>
              <w:szCs w:val="28"/>
              <w:highlight w:val="none"/>
            </w:rPr>
            <w:t>与服务创新</w:t>
          </w:r>
          <w:r>
            <w:rPr>
              <w:rFonts w:hint="eastAsia" w:ascii="黑体" w:hAnsi="黑体" w:eastAsia="黑体" w:cs="黑体"/>
              <w:b w:val="0"/>
              <w:bCs/>
              <w:sz w:val="28"/>
              <w:szCs w:val="28"/>
            </w:rPr>
            <w:tab/>
          </w:r>
          <w:r>
            <w:rPr>
              <w:rFonts w:hint="eastAsia" w:ascii="黑体" w:hAnsi="黑体" w:eastAsia="黑体" w:cs="黑体"/>
              <w:b w:val="0"/>
              <w:bCs/>
              <w:sz w:val="28"/>
              <w:szCs w:val="28"/>
              <w:lang w:val="en-US" w:eastAsia="zh-CN"/>
            </w:rPr>
            <w:t>8</w:t>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end"/>
          </w:r>
        </w:p>
        <w:p w14:paraId="01B3385E">
          <w:pPr>
            <w:pStyle w:val="11"/>
            <w:tabs>
              <w:tab w:val="right" w:leader="dot" w:pos="8306"/>
            </w:tabs>
            <w:rPr>
              <w:rFonts w:hint="default" w:ascii="黑体" w:hAnsi="黑体" w:eastAsia="黑体" w:cs="黑体"/>
              <w:b w:val="0"/>
              <w:bCs/>
              <w:sz w:val="28"/>
              <w:szCs w:val="28"/>
              <w:lang w:val="en-US"/>
            </w:rPr>
          </w:pP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begin"/>
          </w:r>
          <w:r>
            <w:rPr>
              <w:rFonts w:hint="eastAsia" w:ascii="黑体" w:hAnsi="黑体" w:eastAsia="黑体" w:cs="黑体"/>
              <w:b w:val="0"/>
              <w:bCs/>
              <w:sz w:val="28"/>
              <w:szCs w:val="28"/>
              <w:highlight w:val="none"/>
              <w:lang w:val="en-US" w:eastAsia="zh-CN"/>
            </w:rPr>
            <w:instrText xml:space="preserve"> HYPERLINK \l _Toc8756 </w:instrText>
          </w:r>
          <w:r>
            <w:rPr>
              <w:rFonts w:hint="eastAsia" w:ascii="黑体" w:hAnsi="黑体" w:eastAsia="黑体" w:cs="黑体"/>
              <w:b w:val="0"/>
              <w:bCs/>
              <w:sz w:val="28"/>
              <w:szCs w:val="28"/>
              <w:highlight w:val="none"/>
              <w:lang w:val="en-US" w:eastAsia="zh-CN"/>
            </w:rPr>
            <w:fldChar w:fldCharType="separate"/>
          </w:r>
          <w:r>
            <w:rPr>
              <w:rFonts w:hint="eastAsia" w:ascii="黑体" w:hAnsi="黑体" w:eastAsia="黑体" w:cs="黑体"/>
              <w:b w:val="0"/>
              <w:bCs/>
              <w:sz w:val="28"/>
              <w:szCs w:val="28"/>
              <w:highlight w:val="none"/>
              <w:lang w:val="en-US" w:eastAsia="zh-CN"/>
            </w:rPr>
            <w:t>五</w:t>
          </w:r>
          <w:r>
            <w:rPr>
              <w:rFonts w:hint="eastAsia" w:ascii="黑体" w:hAnsi="黑体" w:eastAsia="黑体" w:cs="黑体"/>
              <w:b w:val="0"/>
              <w:bCs/>
              <w:sz w:val="28"/>
              <w:szCs w:val="28"/>
              <w:lang w:val="en-US" w:eastAsia="zh-CN"/>
            </w:rPr>
            <w:t>、</w:t>
          </w:r>
          <w:r>
            <w:rPr>
              <w:rFonts w:hint="eastAsia" w:ascii="黑体" w:hAnsi="黑体" w:eastAsia="黑体" w:cs="黑体"/>
              <w:b w:val="0"/>
              <w:bCs/>
              <w:sz w:val="28"/>
              <w:szCs w:val="28"/>
              <w:highlight w:val="none"/>
              <w:lang w:val="en-US" w:eastAsia="zh-CN"/>
            </w:rPr>
            <w:t>环境风险管理流程</w:t>
          </w:r>
          <w:r>
            <w:rPr>
              <w:rFonts w:hint="eastAsia" w:ascii="黑体" w:hAnsi="黑体" w:eastAsia="黑体" w:cs="黑体"/>
              <w:b w:val="0"/>
              <w:bCs/>
              <w:sz w:val="28"/>
              <w:szCs w:val="28"/>
            </w:rPr>
            <w:tab/>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end"/>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t>9</w:t>
          </w:r>
        </w:p>
        <w:p w14:paraId="68EFF3F1">
          <w:pPr>
            <w:pStyle w:val="11"/>
            <w:tabs>
              <w:tab w:val="right" w:leader="dot" w:pos="8306"/>
            </w:tabs>
            <w:rPr>
              <w:rFonts w:hint="default" w:ascii="黑体" w:hAnsi="黑体" w:eastAsia="黑体" w:cs="黑体"/>
              <w:b w:val="0"/>
              <w:bCs/>
              <w:sz w:val="28"/>
              <w:szCs w:val="28"/>
              <w:lang w:val="en-US"/>
            </w:rPr>
          </w:pP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begin"/>
          </w:r>
          <w:r>
            <w:rPr>
              <w:rFonts w:hint="eastAsia" w:ascii="黑体" w:hAnsi="黑体" w:eastAsia="黑体" w:cs="黑体"/>
              <w:b w:val="0"/>
              <w:bCs/>
              <w:sz w:val="28"/>
              <w:szCs w:val="28"/>
              <w:highlight w:val="none"/>
              <w:lang w:val="en-US" w:eastAsia="zh-CN"/>
            </w:rPr>
            <w:instrText xml:space="preserve"> HYPERLINK \l _Toc7226 </w:instrText>
          </w:r>
          <w:r>
            <w:rPr>
              <w:rFonts w:hint="eastAsia" w:ascii="黑体" w:hAnsi="黑体" w:eastAsia="黑体" w:cs="黑体"/>
              <w:b w:val="0"/>
              <w:bCs/>
              <w:sz w:val="28"/>
              <w:szCs w:val="28"/>
              <w:highlight w:val="none"/>
              <w:lang w:val="en-US" w:eastAsia="zh-CN"/>
            </w:rPr>
            <w:fldChar w:fldCharType="separate"/>
          </w:r>
          <w:r>
            <w:rPr>
              <w:rFonts w:hint="eastAsia" w:ascii="黑体" w:hAnsi="黑体" w:eastAsia="黑体" w:cs="黑体"/>
              <w:b w:val="0"/>
              <w:bCs/>
              <w:sz w:val="28"/>
              <w:szCs w:val="28"/>
              <w:highlight w:val="none"/>
              <w:lang w:val="en-US" w:eastAsia="zh-CN"/>
            </w:rPr>
            <w:t>六</w:t>
          </w:r>
          <w:r>
            <w:rPr>
              <w:rFonts w:hint="eastAsia" w:ascii="黑体" w:hAnsi="黑体" w:eastAsia="黑体" w:cs="黑体"/>
              <w:b w:val="0"/>
              <w:bCs/>
              <w:sz w:val="28"/>
              <w:szCs w:val="28"/>
              <w:lang w:val="en-US" w:eastAsia="zh-CN"/>
            </w:rPr>
            <w:t>、</w:t>
          </w:r>
          <w:r>
            <w:rPr>
              <w:rFonts w:hint="eastAsia" w:ascii="黑体" w:hAnsi="黑体" w:eastAsia="黑体" w:cs="黑体"/>
              <w:b w:val="0"/>
              <w:bCs/>
              <w:sz w:val="28"/>
              <w:szCs w:val="28"/>
              <w:highlight w:val="none"/>
              <w:lang w:val="en-US" w:eastAsia="zh-CN"/>
            </w:rPr>
            <w:t>环境风险和机遇</w:t>
          </w:r>
          <w:r>
            <w:rPr>
              <w:rFonts w:hint="eastAsia" w:ascii="黑体" w:hAnsi="黑体" w:eastAsia="黑体" w:cs="黑体"/>
              <w:b w:val="0"/>
              <w:bCs/>
              <w:sz w:val="28"/>
              <w:szCs w:val="28"/>
            </w:rPr>
            <w:tab/>
          </w:r>
          <w:r>
            <w:rPr>
              <w:rFonts w:hint="eastAsia" w:ascii="黑体" w:hAnsi="黑体" w:eastAsia="黑体" w:cs="黑体"/>
              <w:b w:val="0"/>
              <w:bCs/>
              <w:sz w:val="28"/>
              <w:szCs w:val="28"/>
              <w:lang w:val="en-US" w:eastAsia="zh-CN"/>
            </w:rPr>
            <w:t>1</w:t>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end"/>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t>0</w:t>
          </w:r>
        </w:p>
        <w:p w14:paraId="0977FEA8">
          <w:pPr>
            <w:pStyle w:val="11"/>
            <w:tabs>
              <w:tab w:val="right" w:leader="dot" w:pos="8306"/>
            </w:tabs>
            <w:rPr>
              <w:rFonts w:hint="eastAsia" w:ascii="黑体" w:hAnsi="黑体" w:eastAsia="黑体" w:cs="黑体"/>
              <w:b w:val="0"/>
              <w:bCs/>
              <w:sz w:val="28"/>
              <w:szCs w:val="28"/>
            </w:rPr>
          </w:pP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begin"/>
          </w:r>
          <w:r>
            <w:rPr>
              <w:rFonts w:hint="eastAsia" w:ascii="黑体" w:hAnsi="黑体" w:eastAsia="黑体" w:cs="黑体"/>
              <w:b w:val="0"/>
              <w:bCs/>
              <w:sz w:val="28"/>
              <w:szCs w:val="28"/>
              <w:highlight w:val="none"/>
              <w:lang w:val="en-US" w:eastAsia="zh-CN"/>
            </w:rPr>
            <w:instrText xml:space="preserve"> HYPERLINK \l _Toc11709 </w:instrText>
          </w:r>
          <w:r>
            <w:rPr>
              <w:rFonts w:hint="eastAsia" w:ascii="黑体" w:hAnsi="黑体" w:eastAsia="黑体" w:cs="黑体"/>
              <w:b w:val="0"/>
              <w:bCs/>
              <w:sz w:val="28"/>
              <w:szCs w:val="28"/>
              <w:highlight w:val="none"/>
              <w:lang w:val="en-US" w:eastAsia="zh-CN"/>
            </w:rPr>
            <w:fldChar w:fldCharType="separate"/>
          </w:r>
          <w:r>
            <w:rPr>
              <w:rFonts w:hint="eastAsia" w:ascii="黑体" w:hAnsi="黑体" w:eastAsia="黑体" w:cs="黑体"/>
              <w:b w:val="0"/>
              <w:bCs/>
              <w:sz w:val="28"/>
              <w:szCs w:val="28"/>
              <w:highlight w:val="none"/>
              <w:lang w:val="en-US" w:eastAsia="zh-CN"/>
            </w:rPr>
            <w:t>七</w:t>
          </w:r>
          <w:r>
            <w:rPr>
              <w:rFonts w:hint="eastAsia" w:ascii="黑体" w:hAnsi="黑体" w:eastAsia="黑体" w:cs="黑体"/>
              <w:b w:val="0"/>
              <w:bCs/>
              <w:sz w:val="28"/>
              <w:szCs w:val="28"/>
              <w:lang w:val="en-US" w:eastAsia="zh-CN"/>
            </w:rPr>
            <w:t>、</w:t>
          </w:r>
          <w:r>
            <w:rPr>
              <w:rFonts w:hint="eastAsia" w:ascii="黑体" w:hAnsi="黑体" w:eastAsia="黑体" w:cs="黑体"/>
              <w:b w:val="0"/>
              <w:bCs/>
              <w:sz w:val="28"/>
              <w:szCs w:val="28"/>
              <w:highlight w:val="none"/>
              <w:lang w:val="en-US" w:eastAsia="zh-CN"/>
            </w:rPr>
            <w:t>本行</w:t>
          </w:r>
          <w:r>
            <w:rPr>
              <w:rFonts w:hint="default" w:ascii="黑体" w:hAnsi="黑体" w:eastAsia="黑体" w:cs="黑体"/>
              <w:b w:val="0"/>
              <w:bCs/>
              <w:sz w:val="28"/>
              <w:szCs w:val="28"/>
              <w:highlight w:val="none"/>
              <w:lang w:val="en-US" w:eastAsia="zh-CN"/>
            </w:rPr>
            <w:t>投融资所产生的环境影响</w:t>
          </w:r>
          <w:r>
            <w:rPr>
              <w:rFonts w:hint="eastAsia" w:ascii="黑体" w:hAnsi="黑体" w:eastAsia="黑体" w:cs="黑体"/>
              <w:b w:val="0"/>
              <w:bCs/>
              <w:sz w:val="28"/>
              <w:szCs w:val="28"/>
            </w:rPr>
            <w:tab/>
          </w:r>
          <w:r>
            <w:rPr>
              <w:rFonts w:hint="eastAsia" w:ascii="黑体" w:hAnsi="黑体" w:eastAsia="黑体" w:cs="黑体"/>
              <w:b w:val="0"/>
              <w:bCs/>
              <w:sz w:val="28"/>
              <w:szCs w:val="28"/>
            </w:rPr>
            <w:fldChar w:fldCharType="begin"/>
          </w:r>
          <w:r>
            <w:rPr>
              <w:rFonts w:hint="eastAsia" w:ascii="黑体" w:hAnsi="黑体" w:eastAsia="黑体" w:cs="黑体"/>
              <w:b w:val="0"/>
              <w:bCs/>
              <w:sz w:val="28"/>
              <w:szCs w:val="28"/>
            </w:rPr>
            <w:instrText xml:space="preserve"> PAGEREF _Toc11709 \h </w:instrText>
          </w:r>
          <w:r>
            <w:rPr>
              <w:rFonts w:hint="eastAsia" w:ascii="黑体" w:hAnsi="黑体" w:eastAsia="黑体" w:cs="黑体"/>
              <w:b w:val="0"/>
              <w:bCs/>
              <w:sz w:val="28"/>
              <w:szCs w:val="28"/>
            </w:rPr>
            <w:fldChar w:fldCharType="separate"/>
          </w:r>
          <w:r>
            <w:rPr>
              <w:rFonts w:hint="eastAsia" w:ascii="黑体" w:hAnsi="黑体" w:eastAsia="黑体" w:cs="黑体"/>
              <w:b w:val="0"/>
              <w:bCs/>
              <w:sz w:val="28"/>
              <w:szCs w:val="28"/>
            </w:rPr>
            <w:t>12</w:t>
          </w:r>
          <w:r>
            <w:rPr>
              <w:rFonts w:hint="eastAsia" w:ascii="黑体" w:hAnsi="黑体" w:eastAsia="黑体" w:cs="黑体"/>
              <w:b w:val="0"/>
              <w:bCs/>
              <w:sz w:val="28"/>
              <w:szCs w:val="28"/>
            </w:rPr>
            <w:fldChar w:fldCharType="end"/>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end"/>
          </w:r>
        </w:p>
        <w:p w14:paraId="1EF599B2">
          <w:pPr>
            <w:pStyle w:val="11"/>
            <w:tabs>
              <w:tab w:val="right" w:leader="dot" w:pos="8306"/>
            </w:tabs>
            <w:rPr>
              <w:rFonts w:hint="default" w:ascii="黑体" w:hAnsi="黑体" w:eastAsia="黑体" w:cs="黑体"/>
              <w:b w:val="0"/>
              <w:bCs/>
              <w:sz w:val="28"/>
              <w:szCs w:val="28"/>
              <w:lang w:val="en-US"/>
            </w:rPr>
          </w:pP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begin"/>
          </w:r>
          <w:r>
            <w:rPr>
              <w:rFonts w:hint="eastAsia" w:ascii="黑体" w:hAnsi="黑体" w:eastAsia="黑体" w:cs="黑体"/>
              <w:b w:val="0"/>
              <w:bCs/>
              <w:sz w:val="28"/>
              <w:szCs w:val="28"/>
              <w:highlight w:val="none"/>
              <w:lang w:val="en-US" w:eastAsia="zh-CN"/>
            </w:rPr>
            <w:instrText xml:space="preserve"> HYPERLINK \l _Toc18995 </w:instrText>
          </w:r>
          <w:r>
            <w:rPr>
              <w:rFonts w:hint="eastAsia" w:ascii="黑体" w:hAnsi="黑体" w:eastAsia="黑体" w:cs="黑体"/>
              <w:b w:val="0"/>
              <w:bCs/>
              <w:sz w:val="28"/>
              <w:szCs w:val="28"/>
              <w:highlight w:val="none"/>
              <w:lang w:val="en-US" w:eastAsia="zh-CN"/>
            </w:rPr>
            <w:fldChar w:fldCharType="separate"/>
          </w:r>
          <w:r>
            <w:rPr>
              <w:rFonts w:hint="eastAsia" w:ascii="黑体" w:hAnsi="黑体" w:eastAsia="黑体" w:cs="黑体"/>
              <w:b w:val="0"/>
              <w:bCs/>
              <w:sz w:val="28"/>
              <w:szCs w:val="28"/>
              <w:highlight w:val="none"/>
              <w:lang w:val="en-US" w:eastAsia="zh-CN"/>
            </w:rPr>
            <w:t>八</w:t>
          </w:r>
          <w:r>
            <w:rPr>
              <w:rFonts w:hint="eastAsia" w:ascii="黑体" w:hAnsi="黑体" w:eastAsia="黑体" w:cs="黑体"/>
              <w:b w:val="0"/>
              <w:bCs/>
              <w:sz w:val="28"/>
              <w:szCs w:val="28"/>
              <w:lang w:val="en-US" w:eastAsia="zh-CN"/>
            </w:rPr>
            <w:t>、本行</w:t>
          </w:r>
          <w:r>
            <w:rPr>
              <w:rFonts w:hint="eastAsia" w:ascii="黑体" w:hAnsi="黑体" w:eastAsia="黑体" w:cs="黑体"/>
              <w:b w:val="0"/>
              <w:bCs/>
              <w:sz w:val="28"/>
              <w:szCs w:val="28"/>
              <w:highlight w:val="none"/>
              <w:lang w:val="en-US" w:eastAsia="zh-CN"/>
            </w:rPr>
            <w:t>经营活动的环境影响</w:t>
          </w:r>
          <w:r>
            <w:rPr>
              <w:rFonts w:hint="eastAsia" w:ascii="黑体" w:hAnsi="黑体" w:eastAsia="黑体" w:cs="黑体"/>
              <w:b w:val="0"/>
              <w:bCs/>
              <w:sz w:val="28"/>
              <w:szCs w:val="28"/>
            </w:rPr>
            <w:tab/>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end"/>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t>19</w:t>
          </w:r>
        </w:p>
        <w:p w14:paraId="7AB09D19">
          <w:pPr>
            <w:pStyle w:val="11"/>
            <w:tabs>
              <w:tab w:val="right" w:leader="dot" w:pos="8306"/>
            </w:tabs>
            <w:rPr>
              <w:rFonts w:hint="default" w:ascii="黑体" w:hAnsi="黑体" w:eastAsia="黑体" w:cs="黑体"/>
              <w:b w:val="0"/>
              <w:bCs/>
              <w:sz w:val="28"/>
              <w:szCs w:val="28"/>
              <w:lang w:val="en-US"/>
            </w:rPr>
          </w:pP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begin"/>
          </w:r>
          <w:r>
            <w:rPr>
              <w:rFonts w:hint="eastAsia" w:ascii="黑体" w:hAnsi="黑体" w:eastAsia="黑体" w:cs="黑体"/>
              <w:b w:val="0"/>
              <w:bCs/>
              <w:sz w:val="28"/>
              <w:szCs w:val="28"/>
              <w:highlight w:val="none"/>
              <w:lang w:val="en-US" w:eastAsia="zh-CN"/>
            </w:rPr>
            <w:instrText xml:space="preserve"> HYPERLINK \l _Toc21917 </w:instrText>
          </w:r>
          <w:r>
            <w:rPr>
              <w:rFonts w:hint="eastAsia" w:ascii="黑体" w:hAnsi="黑体" w:eastAsia="黑体" w:cs="黑体"/>
              <w:b w:val="0"/>
              <w:bCs/>
              <w:sz w:val="28"/>
              <w:szCs w:val="28"/>
              <w:highlight w:val="none"/>
              <w:lang w:val="en-US" w:eastAsia="zh-CN"/>
            </w:rPr>
            <w:fldChar w:fldCharType="separate"/>
          </w:r>
          <w:r>
            <w:rPr>
              <w:rFonts w:hint="eastAsia" w:ascii="黑体" w:hAnsi="黑体" w:eastAsia="黑体" w:cs="黑体"/>
              <w:b w:val="0"/>
              <w:bCs/>
              <w:sz w:val="28"/>
              <w:szCs w:val="28"/>
              <w:highlight w:val="none"/>
              <w:lang w:val="en-US" w:eastAsia="zh-CN"/>
            </w:rPr>
            <w:t>九</w:t>
          </w:r>
          <w:r>
            <w:rPr>
              <w:rFonts w:hint="eastAsia" w:ascii="黑体" w:hAnsi="黑体" w:eastAsia="黑体" w:cs="黑体"/>
              <w:b w:val="0"/>
              <w:bCs/>
              <w:sz w:val="28"/>
              <w:szCs w:val="28"/>
              <w:lang w:val="en-US" w:eastAsia="zh-CN"/>
            </w:rPr>
            <w:t>、本行</w:t>
          </w:r>
          <w:r>
            <w:rPr>
              <w:rFonts w:hint="eastAsia" w:ascii="黑体" w:hAnsi="黑体" w:eastAsia="黑体" w:cs="黑体"/>
              <w:b w:val="0"/>
              <w:bCs/>
              <w:sz w:val="28"/>
              <w:szCs w:val="28"/>
              <w:highlight w:val="none"/>
              <w:lang w:val="en-US" w:eastAsia="zh-CN"/>
            </w:rPr>
            <w:t>环保措施所产生的环境效益</w:t>
          </w:r>
          <w:r>
            <w:rPr>
              <w:rFonts w:hint="eastAsia" w:ascii="黑体" w:hAnsi="黑体" w:eastAsia="黑体" w:cs="黑体"/>
              <w:b w:val="0"/>
              <w:bCs/>
              <w:sz w:val="28"/>
              <w:szCs w:val="28"/>
            </w:rPr>
            <w:tab/>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end"/>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t>22</w:t>
          </w:r>
        </w:p>
        <w:p w14:paraId="21A65765">
          <w:pPr>
            <w:pStyle w:val="11"/>
            <w:tabs>
              <w:tab w:val="right" w:leader="dot" w:pos="8306"/>
            </w:tabs>
            <w:rPr>
              <w:rFonts w:hint="default" w:ascii="黑体" w:hAnsi="黑体" w:eastAsia="黑体" w:cs="黑体"/>
              <w:b w:val="0"/>
              <w:bCs/>
              <w:sz w:val="28"/>
              <w:szCs w:val="28"/>
              <w:lang w:val="en-US"/>
            </w:rPr>
          </w:pP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begin"/>
          </w:r>
          <w:r>
            <w:rPr>
              <w:rFonts w:hint="eastAsia" w:ascii="黑体" w:hAnsi="黑体" w:eastAsia="黑体" w:cs="黑体"/>
              <w:b w:val="0"/>
              <w:bCs/>
              <w:sz w:val="28"/>
              <w:szCs w:val="28"/>
              <w:highlight w:val="none"/>
              <w:lang w:val="en-US" w:eastAsia="zh-CN"/>
            </w:rPr>
            <w:instrText xml:space="preserve"> HYPERLINK \l _Toc16128 </w:instrText>
          </w:r>
          <w:r>
            <w:rPr>
              <w:rFonts w:hint="eastAsia" w:ascii="黑体" w:hAnsi="黑体" w:eastAsia="黑体" w:cs="黑体"/>
              <w:b w:val="0"/>
              <w:bCs/>
              <w:sz w:val="28"/>
              <w:szCs w:val="28"/>
              <w:highlight w:val="none"/>
              <w:lang w:val="en-US" w:eastAsia="zh-CN"/>
            </w:rPr>
            <w:fldChar w:fldCharType="separate"/>
          </w:r>
          <w:r>
            <w:rPr>
              <w:rFonts w:hint="eastAsia" w:ascii="黑体" w:hAnsi="黑体" w:eastAsia="黑体" w:cs="黑体"/>
              <w:b w:val="0"/>
              <w:bCs/>
              <w:sz w:val="28"/>
              <w:szCs w:val="28"/>
              <w:shd w:val="clear"/>
              <w:lang w:val="en-US" w:eastAsia="zh-CN"/>
            </w:rPr>
            <w:t>十、</w:t>
          </w:r>
          <w:r>
            <w:rPr>
              <w:rFonts w:hint="eastAsia" w:ascii="黑体" w:hAnsi="黑体" w:eastAsia="黑体" w:cs="黑体"/>
              <w:b w:val="0"/>
              <w:bCs/>
              <w:sz w:val="28"/>
              <w:szCs w:val="28"/>
              <w:highlight w:val="none"/>
              <w:lang w:val="en-US" w:eastAsia="zh-CN"/>
            </w:rPr>
            <w:t>数据梳理、校验及保护</w:t>
          </w:r>
          <w:r>
            <w:rPr>
              <w:rFonts w:hint="eastAsia" w:ascii="黑体" w:hAnsi="黑体" w:eastAsia="黑体" w:cs="黑体"/>
              <w:b w:val="0"/>
              <w:bCs/>
              <w:sz w:val="28"/>
              <w:szCs w:val="28"/>
            </w:rPr>
            <w:tab/>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end"/>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t>22</w:t>
          </w:r>
        </w:p>
        <w:p w14:paraId="59C7366A">
          <w:pPr>
            <w:pStyle w:val="11"/>
            <w:tabs>
              <w:tab w:val="right" w:leader="dot" w:pos="8306"/>
            </w:tabs>
            <w:rPr>
              <w:rFonts w:hint="default" w:ascii="黑体" w:hAnsi="黑体" w:eastAsia="黑体" w:cs="黑体"/>
              <w:b w:val="0"/>
              <w:bCs/>
              <w:sz w:val="28"/>
              <w:szCs w:val="28"/>
              <w:lang w:val="en-US"/>
            </w:rPr>
          </w:pP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begin"/>
          </w:r>
          <w:r>
            <w:rPr>
              <w:rFonts w:hint="eastAsia" w:ascii="黑体" w:hAnsi="黑体" w:eastAsia="黑体" w:cs="黑体"/>
              <w:b w:val="0"/>
              <w:bCs/>
              <w:sz w:val="28"/>
              <w:szCs w:val="28"/>
              <w:highlight w:val="none"/>
              <w:lang w:val="en-US" w:eastAsia="zh-CN"/>
            </w:rPr>
            <w:instrText xml:space="preserve"> HYPERLINK \l _Toc5216 </w:instrText>
          </w:r>
          <w:r>
            <w:rPr>
              <w:rFonts w:hint="eastAsia" w:ascii="黑体" w:hAnsi="黑体" w:eastAsia="黑体" w:cs="黑体"/>
              <w:b w:val="0"/>
              <w:bCs/>
              <w:sz w:val="28"/>
              <w:szCs w:val="28"/>
              <w:highlight w:val="none"/>
              <w:lang w:val="en-US" w:eastAsia="zh-CN"/>
            </w:rPr>
            <w:fldChar w:fldCharType="separate"/>
          </w:r>
          <w:r>
            <w:rPr>
              <w:rFonts w:hint="eastAsia" w:ascii="黑体" w:hAnsi="黑体" w:eastAsia="黑体" w:cs="黑体"/>
              <w:b w:val="0"/>
              <w:bCs/>
              <w:sz w:val="28"/>
              <w:szCs w:val="28"/>
              <w:shd w:val="clear"/>
              <w:lang w:val="en-US" w:eastAsia="zh-CN"/>
            </w:rPr>
            <w:t>十一、</w:t>
          </w:r>
          <w:r>
            <w:rPr>
              <w:rFonts w:hint="eastAsia" w:ascii="黑体" w:hAnsi="黑体" w:eastAsia="黑体" w:cs="黑体"/>
              <w:b w:val="0"/>
              <w:bCs/>
              <w:sz w:val="28"/>
              <w:szCs w:val="28"/>
              <w:highlight w:val="none"/>
              <w:lang w:val="en-US" w:eastAsia="zh-CN"/>
            </w:rPr>
            <w:t>绿色金融创新及研究成果</w:t>
          </w:r>
          <w:r>
            <w:rPr>
              <w:rFonts w:hint="eastAsia" w:ascii="黑体" w:hAnsi="黑体" w:eastAsia="黑体" w:cs="黑体"/>
              <w:b w:val="0"/>
              <w:bCs/>
              <w:sz w:val="28"/>
              <w:szCs w:val="28"/>
            </w:rPr>
            <w:tab/>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fldChar w:fldCharType="end"/>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t>23</w:t>
          </w:r>
        </w:p>
        <w:p w14:paraId="43EA933E">
          <w:pPr>
            <w:pStyle w:val="11"/>
            <w:tabs>
              <w:tab w:val="right" w:leader="dot" w:pos="8306"/>
            </w:tabs>
            <w:rPr>
              <w:rFonts w:hint="eastAsia" w:ascii="黑体" w:hAnsi="黑体" w:eastAsia="黑体" w:cs="黑体"/>
              <w:sz w:val="28"/>
              <w:szCs w:val="28"/>
            </w:rPr>
          </w:pPr>
        </w:p>
        <w:p w14:paraId="5D849460">
          <w:pPr>
            <w:keepNext w:val="0"/>
            <w:keepLines w:val="0"/>
            <w:pageBreakBefore w:val="0"/>
            <w:widowControl w:val="0"/>
            <w:numPr>
              <w:ilvl w:val="0"/>
              <w:numId w:val="0"/>
            </w:numPr>
            <w:kinsoku/>
            <w:wordWrap/>
            <w:overflowPunct/>
            <w:topLinePunct w:val="0"/>
            <w:autoSpaceDE/>
            <w:autoSpaceDN/>
            <w:bidi w:val="0"/>
            <w:adjustRightInd/>
            <w:snapToGrid/>
            <w:spacing w:after="157" w:afterLines="50" w:line="560" w:lineRule="exact"/>
            <w:ind w:left="0" w:leftChars="0" w:firstLine="0" w:firstLineChars="0"/>
            <w:jc w:val="center"/>
            <w:textAlignment w:val="auto"/>
            <w:rPr>
              <w:rFonts w:hint="eastAsia" w:ascii="黑体" w:hAnsi="黑体" w:eastAsia="黑体" w:cs="黑体"/>
              <w:b/>
              <w:bCs/>
              <w:color w:val="000000" w:themeColor="text1"/>
              <w:sz w:val="36"/>
              <w:szCs w:val="36"/>
              <w:highlight w:val="none"/>
              <w:lang w:val="en-US" w:eastAsia="zh-CN"/>
              <w14:textFill>
                <w14:solidFill>
                  <w14:schemeClr w14:val="tx1"/>
                </w14:solidFill>
              </w14:textFill>
            </w:rPr>
          </w:pPr>
          <w:r>
            <w:rPr>
              <w:rFonts w:hint="eastAsia" w:ascii="黑体" w:hAnsi="黑体" w:eastAsia="黑体" w:cs="黑体"/>
              <w:bCs/>
              <w:color w:val="000000" w:themeColor="text1"/>
              <w:szCs w:val="36"/>
              <w:highlight w:val="none"/>
              <w:lang w:val="en-US" w:eastAsia="zh-CN"/>
              <w14:textFill>
                <w14:solidFill>
                  <w14:schemeClr w14:val="tx1"/>
                </w14:solidFill>
              </w14:textFill>
            </w:rPr>
            <w:fldChar w:fldCharType="end"/>
          </w:r>
        </w:p>
      </w:sdtContent>
    </w:sdt>
    <w:p w14:paraId="79B4270F">
      <w:pPr>
        <w:keepNext w:val="0"/>
        <w:keepLines w:val="0"/>
        <w:pageBreakBefore w:val="0"/>
        <w:widowControl w:val="0"/>
        <w:numPr>
          <w:ilvl w:val="0"/>
          <w:numId w:val="0"/>
        </w:numPr>
        <w:kinsoku/>
        <w:wordWrap/>
        <w:overflowPunct/>
        <w:topLinePunct w:val="0"/>
        <w:autoSpaceDE/>
        <w:autoSpaceDN/>
        <w:bidi w:val="0"/>
        <w:adjustRightInd/>
        <w:snapToGrid/>
        <w:spacing w:after="157" w:afterLines="50" w:line="560" w:lineRule="exact"/>
        <w:ind w:left="0" w:leftChars="0" w:firstLine="0" w:firstLineChars="0"/>
        <w:jc w:val="center"/>
        <w:textAlignment w:val="auto"/>
        <w:rPr>
          <w:rFonts w:hint="eastAsia" w:ascii="黑体" w:hAnsi="黑体" w:eastAsia="黑体" w:cs="黑体"/>
          <w:b/>
          <w:bCs/>
          <w:color w:val="000000" w:themeColor="text1"/>
          <w:sz w:val="36"/>
          <w:szCs w:val="36"/>
          <w:highlight w:val="none"/>
          <w:lang w:val="en-US" w:eastAsia="zh-CN"/>
          <w14:textFill>
            <w14:solidFill>
              <w14:schemeClr w14:val="tx1"/>
            </w14:solidFill>
          </w14:textFill>
        </w:rPr>
      </w:pPr>
    </w:p>
    <w:p w14:paraId="3E561505">
      <w:pPr>
        <w:keepNext w:val="0"/>
        <w:keepLines w:val="0"/>
        <w:pageBreakBefore w:val="0"/>
        <w:widowControl w:val="0"/>
        <w:numPr>
          <w:ilvl w:val="0"/>
          <w:numId w:val="0"/>
        </w:numPr>
        <w:kinsoku/>
        <w:wordWrap/>
        <w:overflowPunct/>
        <w:topLinePunct w:val="0"/>
        <w:autoSpaceDE/>
        <w:autoSpaceDN/>
        <w:bidi w:val="0"/>
        <w:adjustRightInd/>
        <w:snapToGrid/>
        <w:spacing w:after="157" w:afterLines="50" w:line="560" w:lineRule="exact"/>
        <w:ind w:left="0" w:leftChars="0" w:firstLine="0" w:firstLineChars="0"/>
        <w:jc w:val="center"/>
        <w:textAlignment w:val="auto"/>
        <w:rPr>
          <w:rFonts w:hint="eastAsia" w:ascii="黑体" w:hAnsi="黑体" w:eastAsia="黑体" w:cs="黑体"/>
          <w:b/>
          <w:bCs/>
          <w:color w:val="000000" w:themeColor="text1"/>
          <w:sz w:val="36"/>
          <w:szCs w:val="36"/>
          <w:highlight w:val="none"/>
          <w:lang w:val="en-US" w:eastAsia="zh-CN"/>
          <w14:textFill>
            <w14:solidFill>
              <w14:schemeClr w14:val="tx1"/>
            </w14:solidFill>
          </w14:textFill>
        </w:rPr>
      </w:pPr>
    </w:p>
    <w:p w14:paraId="48506034">
      <w:pPr>
        <w:keepNext w:val="0"/>
        <w:keepLines w:val="0"/>
        <w:pageBreakBefore w:val="0"/>
        <w:widowControl w:val="0"/>
        <w:numPr>
          <w:ilvl w:val="0"/>
          <w:numId w:val="0"/>
        </w:numPr>
        <w:kinsoku/>
        <w:wordWrap/>
        <w:overflowPunct/>
        <w:topLinePunct w:val="0"/>
        <w:autoSpaceDE/>
        <w:autoSpaceDN/>
        <w:bidi w:val="0"/>
        <w:adjustRightInd/>
        <w:snapToGrid/>
        <w:spacing w:after="157" w:afterLines="50" w:line="560" w:lineRule="exact"/>
        <w:ind w:left="0" w:leftChars="0" w:firstLine="0" w:firstLineChars="0"/>
        <w:jc w:val="center"/>
        <w:textAlignment w:val="auto"/>
        <w:rPr>
          <w:rFonts w:hint="eastAsia" w:ascii="黑体" w:hAnsi="黑体" w:eastAsia="黑体" w:cs="黑体"/>
          <w:b/>
          <w:bCs/>
          <w:color w:val="000000" w:themeColor="text1"/>
          <w:sz w:val="36"/>
          <w:szCs w:val="36"/>
          <w:highlight w:val="none"/>
          <w:lang w:val="en-US" w:eastAsia="zh-CN"/>
          <w14:textFill>
            <w14:solidFill>
              <w14:schemeClr w14:val="tx1"/>
            </w14:solidFill>
          </w14:textFill>
        </w:rPr>
      </w:pPr>
    </w:p>
    <w:p w14:paraId="7CF12226">
      <w:pPr>
        <w:keepNext w:val="0"/>
        <w:keepLines w:val="0"/>
        <w:pageBreakBefore w:val="0"/>
        <w:widowControl w:val="0"/>
        <w:numPr>
          <w:ilvl w:val="0"/>
          <w:numId w:val="0"/>
        </w:numPr>
        <w:kinsoku/>
        <w:wordWrap/>
        <w:overflowPunct/>
        <w:topLinePunct w:val="0"/>
        <w:autoSpaceDE/>
        <w:autoSpaceDN/>
        <w:bidi w:val="0"/>
        <w:adjustRightInd/>
        <w:snapToGrid/>
        <w:spacing w:after="157" w:afterLines="50" w:line="560" w:lineRule="exact"/>
        <w:ind w:left="0" w:leftChars="0" w:firstLine="0" w:firstLineChars="0"/>
        <w:jc w:val="both"/>
        <w:textAlignment w:val="auto"/>
        <w:outlineLvl w:val="0"/>
        <w:rPr>
          <w:rFonts w:hint="eastAsia" w:ascii="黑体" w:hAnsi="黑体" w:eastAsia="黑体" w:cs="黑体"/>
          <w:b/>
          <w:bCs/>
          <w:color w:val="000000" w:themeColor="text1"/>
          <w:sz w:val="36"/>
          <w:szCs w:val="36"/>
          <w:highlight w:val="none"/>
          <w:lang w:val="en-US" w:eastAsia="zh-CN"/>
          <w14:textFill>
            <w14:solidFill>
              <w14:schemeClr w14:val="tx1"/>
            </w14:solidFill>
          </w14:textFill>
        </w:rPr>
        <w:sectPr>
          <w:headerReference r:id="rId6" w:type="default"/>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bookmarkStart w:id="8" w:name="_Toc29138"/>
    </w:p>
    <w:p w14:paraId="73CFB14F">
      <w:pPr>
        <w:keepNext w:val="0"/>
        <w:keepLines w:val="0"/>
        <w:pageBreakBefore w:val="0"/>
        <w:widowControl w:val="0"/>
        <w:numPr>
          <w:ilvl w:val="0"/>
          <w:numId w:val="0"/>
        </w:numPr>
        <w:kinsoku/>
        <w:wordWrap/>
        <w:overflowPunct/>
        <w:topLinePunct w:val="0"/>
        <w:autoSpaceDE/>
        <w:autoSpaceDN/>
        <w:bidi w:val="0"/>
        <w:adjustRightInd/>
        <w:snapToGrid/>
        <w:spacing w:after="0" w:afterLines="0" w:line="560" w:lineRule="exact"/>
        <w:ind w:left="0" w:leftChars="0" w:firstLine="0" w:firstLineChars="0"/>
        <w:jc w:val="center"/>
        <w:textAlignment w:val="auto"/>
        <w:outlineLvl w:val="0"/>
        <w:rPr>
          <w:rFonts w:hint="default"/>
          <w:b w:val="0"/>
          <w:bCs w:val="0"/>
          <w:lang w:val="en-US" w:eastAsia="zh-CN"/>
        </w:rPr>
      </w:pPr>
      <w:r>
        <w:rPr>
          <w:rFonts w:hint="eastAsia" w:ascii="黑体" w:hAnsi="黑体" w:eastAsia="黑体" w:cs="黑体"/>
          <w:b w:val="0"/>
          <w:bCs w:val="0"/>
          <w:color w:val="000000" w:themeColor="text1"/>
          <w:sz w:val="36"/>
          <w:szCs w:val="36"/>
          <w:highlight w:val="none"/>
          <w:lang w:val="en-US" w:eastAsia="zh-CN"/>
          <w14:textFill>
            <w14:solidFill>
              <w14:schemeClr w14:val="tx1"/>
            </w14:solidFill>
          </w14:textFill>
        </w:rPr>
        <w:t>关于本报告</w:t>
      </w:r>
      <w:bookmarkEnd w:id="8"/>
    </w:p>
    <w:p w14:paraId="5412FA2B">
      <w:pPr>
        <w:keepNext w:val="0"/>
        <w:keepLines w:val="0"/>
        <w:pageBreakBefore w:val="0"/>
        <w:widowControl w:val="0"/>
        <w:numPr>
          <w:ilvl w:val="0"/>
          <w:numId w:val="0"/>
        </w:numPr>
        <w:kinsoku/>
        <w:wordWrap/>
        <w:overflowPunct/>
        <w:topLinePunct w:val="0"/>
        <w:autoSpaceDE/>
        <w:autoSpaceDN/>
        <w:bidi w:val="0"/>
        <w:adjustRightInd/>
        <w:snapToGrid/>
        <w:spacing w:afterLines="0" w:line="560" w:lineRule="exact"/>
        <w:ind w:left="0" w:leftChars="0" w:firstLine="640" w:firstLineChars="200"/>
        <w:jc w:val="both"/>
        <w:textAlignment w:val="auto"/>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default"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环境信息披露</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是金融机构承担环境与社会责任的重要举措</w:t>
      </w:r>
      <w:r>
        <w:rPr>
          <w:rFonts w:hint="default"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不仅有助于金融机构梳理自身绿色金融发展与环境影响的具体情况，也是金融机构将“双碳”战略部署落在实处的重要体现，为进一步做好环境信息披露工作，</w:t>
      </w:r>
      <w:r>
        <w:rPr>
          <w:rFonts w:hint="default"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江苏</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盐城</w:t>
      </w:r>
      <w:r>
        <w:rPr>
          <w:rFonts w:hint="default"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农村商业银行</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股份有限公司在中国人民银行盐城市分行的指导下，</w:t>
      </w:r>
      <w:r>
        <w:rPr>
          <w:rFonts w:hint="default"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参照</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《江苏省银行业金融机构环境信息披露指引（试行）》（苏银发〔2024〕49号）</w:t>
      </w:r>
      <w:r>
        <w:rPr>
          <w:rFonts w:hint="default"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要求，</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结合</w:t>
      </w:r>
      <w:r>
        <w:rPr>
          <w:rFonts w:hint="default"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江苏</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盐城</w:t>
      </w:r>
      <w:r>
        <w:rPr>
          <w:rFonts w:hint="default"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农村商业银行</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股份有限公司绿色金融发展实际情况</w:t>
      </w:r>
      <w:r>
        <w:rPr>
          <w:rFonts w:hint="default"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编制</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本</w:t>
      </w:r>
      <w:r>
        <w:rPr>
          <w:rFonts w:hint="default"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报告</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w:t>
      </w:r>
    </w:p>
    <w:p w14:paraId="5E7551F9">
      <w:pPr>
        <w:keepNext w:val="0"/>
        <w:keepLines w:val="0"/>
        <w:pageBreakBefore w:val="0"/>
        <w:widowControl w:val="0"/>
        <w:numPr>
          <w:ilvl w:val="0"/>
          <w:numId w:val="0"/>
        </w:numPr>
        <w:kinsoku/>
        <w:wordWrap/>
        <w:overflowPunct/>
        <w:topLinePunct w:val="0"/>
        <w:autoSpaceDE/>
        <w:autoSpaceDN/>
        <w:bidi w:val="0"/>
        <w:adjustRightInd/>
        <w:snapToGrid/>
        <w:spacing w:afterLines="0" w:line="560" w:lineRule="exact"/>
        <w:ind w:left="0" w:leftChars="0" w:firstLine="643" w:firstLineChars="200"/>
        <w:jc w:val="both"/>
        <w:textAlignment w:val="auto"/>
        <w:outlineLvl w:val="0"/>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pPr>
      <w:bookmarkStart w:id="9" w:name="_Toc6230"/>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报告组织范围：</w:t>
      </w:r>
      <w:bookmarkEnd w:id="9"/>
    </w:p>
    <w:p w14:paraId="6C782693">
      <w:pPr>
        <w:keepNext w:val="0"/>
        <w:keepLines w:val="0"/>
        <w:pageBreakBefore w:val="0"/>
        <w:widowControl w:val="0"/>
        <w:kinsoku/>
        <w:wordWrap/>
        <w:overflowPunct/>
        <w:topLinePunct w:val="0"/>
        <w:autoSpaceDE/>
        <w:autoSpaceDN/>
        <w:bidi w:val="0"/>
        <w:adjustRightInd/>
        <w:snapToGrid/>
        <w:spacing w:afterLines="0" w:line="560" w:lineRule="exact"/>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sz w:val="32"/>
          <w:szCs w:val="32"/>
          <w:highlight w:val="none"/>
          <w:shd w:val="clear"/>
          <w:lang w:val="en-US" w:eastAsia="zh-CN"/>
        </w:rPr>
        <w:t>江苏盐城农村商业银行股份有限公司及所辖支行、网点</w:t>
      </w:r>
    </w:p>
    <w:p w14:paraId="6CB68E13">
      <w:pPr>
        <w:keepNext w:val="0"/>
        <w:keepLines w:val="0"/>
        <w:pageBreakBefore w:val="0"/>
        <w:widowControl w:val="0"/>
        <w:numPr>
          <w:ilvl w:val="0"/>
          <w:numId w:val="0"/>
        </w:numPr>
        <w:kinsoku/>
        <w:wordWrap/>
        <w:overflowPunct/>
        <w:topLinePunct w:val="0"/>
        <w:autoSpaceDE/>
        <w:autoSpaceDN/>
        <w:bidi w:val="0"/>
        <w:adjustRightInd/>
        <w:snapToGrid/>
        <w:spacing w:afterLines="0" w:line="560" w:lineRule="exact"/>
        <w:ind w:left="0" w:leftChars="0" w:firstLine="643" w:firstLineChars="20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报告时间范围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p>
    <w:p w14:paraId="785807C7">
      <w:pPr>
        <w:keepNext w:val="0"/>
        <w:keepLines w:val="0"/>
        <w:pageBreakBefore w:val="0"/>
        <w:widowControl w:val="0"/>
        <w:numPr>
          <w:ilvl w:val="0"/>
          <w:numId w:val="0"/>
        </w:numPr>
        <w:kinsoku/>
        <w:wordWrap/>
        <w:overflowPunct/>
        <w:topLinePunct w:val="0"/>
        <w:autoSpaceDE/>
        <w:autoSpaceDN/>
        <w:bidi w:val="0"/>
        <w:adjustRightInd/>
        <w:snapToGrid/>
        <w:spacing w:afterLines="0" w:line="560" w:lineRule="exact"/>
        <w:ind w:left="0" w:leftChars="0" w:firstLine="640" w:firstLineChars="200"/>
        <w:jc w:val="both"/>
        <w:textAlignment w:val="auto"/>
        <w:rPr>
          <w:rFonts w:hint="eastAsia" w:ascii="仿宋_GB2312" w:hAnsi="仿宋_GB2312" w:eastAsia="仿宋_GB2312" w:cs="仿宋_GB2312"/>
          <w:sz w:val="32"/>
          <w:szCs w:val="32"/>
          <w:highlight w:val="none"/>
          <w:shd w:val="clear"/>
          <w:lang w:val="en-US" w:eastAsia="zh-CN"/>
        </w:rPr>
      </w:pPr>
      <w:r>
        <w:rPr>
          <w:rFonts w:hint="eastAsia" w:ascii="仿宋_GB2312" w:hAnsi="仿宋_GB2312" w:eastAsia="仿宋_GB2312" w:cs="仿宋_GB2312"/>
          <w:sz w:val="32"/>
          <w:szCs w:val="32"/>
          <w:highlight w:val="none"/>
          <w:shd w:val="clear"/>
          <w:lang w:val="en-US" w:eastAsia="zh-CN"/>
        </w:rPr>
        <w:t>2025年1月1日至2025年12月31日</w:t>
      </w:r>
    </w:p>
    <w:p w14:paraId="096B12DD">
      <w:pPr>
        <w:pStyle w:val="15"/>
        <w:jc w:val="both"/>
        <w:rPr>
          <w:rFonts w:hint="eastAsia" w:ascii="仿宋_GB2312" w:hAnsi="仿宋_GB2312" w:eastAsia="仿宋_GB2312" w:cs="仿宋_GB2312"/>
          <w:sz w:val="32"/>
          <w:szCs w:val="32"/>
          <w:highlight w:val="none"/>
          <w:shd w:val="clear"/>
          <w:lang w:val="en-US" w:eastAsia="zh-CN"/>
        </w:rPr>
      </w:pPr>
      <w:r>
        <w:rPr>
          <w:rFonts w:hint="eastAsia" w:ascii="仿宋_GB2312" w:hAnsi="仿宋_GB2312" w:eastAsia="仿宋_GB2312" w:cs="仿宋_GB2312"/>
          <w:sz w:val="32"/>
          <w:szCs w:val="32"/>
          <w:highlight w:val="none"/>
          <w:shd w:val="clear"/>
          <w:lang w:val="en-US" w:eastAsia="zh-CN"/>
        </w:rPr>
        <w:t>编制依据：</w:t>
      </w:r>
    </w:p>
    <w:p w14:paraId="330BF4EE">
      <w:pPr>
        <w:keepNext w:val="0"/>
        <w:keepLines w:val="0"/>
        <w:pageBreakBefore w:val="0"/>
        <w:widowControl w:val="0"/>
        <w:kinsoku/>
        <w:wordWrap/>
        <w:overflowPunct/>
        <w:topLinePunct w:val="0"/>
        <w:autoSpaceDE/>
        <w:autoSpaceDN/>
        <w:bidi w:val="0"/>
        <w:adjustRightInd/>
        <w:snapToGrid/>
        <w:spacing w:afterLines="0" w:line="560" w:lineRule="exact"/>
        <w:textAlignment w:val="auto"/>
        <w:rPr>
          <w:rFonts w:hint="default" w:ascii="仿宋_GB2312" w:hAnsi="仿宋_GB2312" w:eastAsia="仿宋_GB2312" w:cs="仿宋_GB2312"/>
          <w:sz w:val="32"/>
          <w:szCs w:val="32"/>
          <w:highlight w:val="none"/>
          <w:shd w:val="clear"/>
          <w:lang w:val="en-US" w:eastAsia="zh-CN"/>
        </w:rPr>
      </w:pPr>
      <w:r>
        <w:rPr>
          <w:rFonts w:hint="eastAsia" w:ascii="仿宋_GB2312" w:hAnsi="仿宋_GB2312" w:eastAsia="仿宋_GB2312" w:cs="仿宋_GB2312"/>
          <w:sz w:val="32"/>
          <w:szCs w:val="32"/>
          <w:highlight w:val="none"/>
          <w:shd w:val="clear"/>
          <w:lang w:val="en-US" w:eastAsia="zh-CN"/>
        </w:rPr>
        <w:t>本报告遵循中国人民银行发布的《金融机构环境信息披露指南》《银行业金融机构环境信息披露操作手册》《江苏省银行业金融机构环境信息披露指引（试行）》等文件中环境披露要求，结合江苏盐城农村商业银行股份有限公司的绿色金融发展实际情况进行编制。</w:t>
      </w:r>
    </w:p>
    <w:p w14:paraId="31C02869">
      <w:pPr>
        <w:pStyle w:val="15"/>
        <w:jc w:val="both"/>
        <w:rPr>
          <w:rFonts w:hint="default" w:ascii="仿宋_GB2312" w:hAnsi="仿宋_GB2312" w:eastAsia="仿宋_GB2312" w:cs="仿宋_GB2312"/>
          <w:sz w:val="32"/>
          <w:szCs w:val="32"/>
          <w:highlight w:val="none"/>
          <w:shd w:val="clear"/>
          <w:lang w:val="en-US" w:eastAsia="zh-CN"/>
        </w:rPr>
      </w:pPr>
      <w:r>
        <w:rPr>
          <w:rFonts w:hint="default" w:ascii="仿宋_GB2312" w:hAnsi="仿宋_GB2312" w:eastAsia="仿宋_GB2312" w:cs="仿宋_GB2312"/>
          <w:sz w:val="32"/>
          <w:szCs w:val="32"/>
          <w:highlight w:val="none"/>
          <w:shd w:val="clear"/>
          <w:lang w:val="en-US" w:eastAsia="zh-CN"/>
        </w:rPr>
        <w:t>指代说明：</w:t>
      </w:r>
    </w:p>
    <w:p w14:paraId="32817150">
      <w:pPr>
        <w:keepNext w:val="0"/>
        <w:keepLines w:val="0"/>
        <w:pageBreakBefore w:val="0"/>
        <w:widowControl w:val="0"/>
        <w:kinsoku/>
        <w:wordWrap/>
        <w:overflowPunct/>
        <w:topLinePunct w:val="0"/>
        <w:autoSpaceDE/>
        <w:autoSpaceDN/>
        <w:bidi w:val="0"/>
        <w:adjustRightInd/>
        <w:snapToGrid/>
        <w:spacing w:afterLines="0" w:line="560" w:lineRule="exact"/>
        <w:textAlignment w:val="auto"/>
        <w:rPr>
          <w:rFonts w:hint="default"/>
          <w:lang w:val="en-US" w:eastAsia="zh-CN"/>
        </w:rPr>
      </w:pPr>
      <w:bookmarkStart w:id="10" w:name="_Toc7884_WPSOffice_Level2"/>
      <w:r>
        <w:rPr>
          <w:rFonts w:hint="eastAsia" w:ascii="仿宋_GB2312" w:hAnsi="仿宋_GB2312" w:eastAsia="仿宋_GB2312" w:cs="仿宋_GB2312"/>
          <w:sz w:val="32"/>
          <w:szCs w:val="32"/>
          <w:highlight w:val="none"/>
          <w:shd w:val="clear"/>
          <w:lang w:val="en-US" w:eastAsia="zh-CN"/>
        </w:rPr>
        <w:t>本行/我们/公司</w:t>
      </w:r>
      <w:bookmarkEnd w:id="10"/>
      <w:r>
        <w:rPr>
          <w:rFonts w:hint="eastAsia" w:ascii="仿宋_GB2312" w:hAnsi="仿宋_GB2312" w:eastAsia="仿宋_GB2312" w:cs="仿宋_GB2312"/>
          <w:sz w:val="32"/>
          <w:szCs w:val="32"/>
          <w:highlight w:val="none"/>
          <w:shd w:val="clear"/>
          <w:lang w:val="en-US" w:eastAsia="zh-CN"/>
        </w:rPr>
        <w:t>指江苏盐城农村商业银行股份有限公司及其分支机构</w:t>
      </w:r>
    </w:p>
    <w:p w14:paraId="25F41FCC">
      <w:pPr>
        <w:keepNext w:val="0"/>
        <w:keepLines w:val="0"/>
        <w:pageBreakBefore w:val="0"/>
        <w:widowControl w:val="0"/>
        <w:numPr>
          <w:ilvl w:val="0"/>
          <w:numId w:val="0"/>
        </w:numPr>
        <w:kinsoku/>
        <w:wordWrap/>
        <w:overflowPunct/>
        <w:topLinePunct w:val="0"/>
        <w:autoSpaceDE/>
        <w:autoSpaceDN/>
        <w:bidi w:val="0"/>
        <w:adjustRightInd/>
        <w:snapToGrid/>
        <w:spacing w:afterLines="0" w:line="560" w:lineRule="exact"/>
        <w:ind w:left="0" w:leftChars="0" w:firstLine="643" w:firstLineChars="200"/>
        <w:jc w:val="both"/>
        <w:textAlignment w:val="auto"/>
        <w:outlineLvl w:val="0"/>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发布周期：</w:t>
      </w:r>
    </w:p>
    <w:p w14:paraId="32E376E6">
      <w:pPr>
        <w:keepNext w:val="0"/>
        <w:keepLines w:val="0"/>
        <w:pageBreakBefore w:val="0"/>
        <w:widowControl w:val="0"/>
        <w:numPr>
          <w:ilvl w:val="0"/>
          <w:numId w:val="0"/>
        </w:numPr>
        <w:kinsoku/>
        <w:wordWrap/>
        <w:overflowPunct/>
        <w:topLinePunct w:val="0"/>
        <w:autoSpaceDE/>
        <w:autoSpaceDN/>
        <w:bidi w:val="0"/>
        <w:adjustRightInd/>
        <w:snapToGrid/>
        <w:spacing w:afterLines="0" w:line="560" w:lineRule="exact"/>
        <w:ind w:left="0" w:leftChars="0" w:firstLine="640" w:firstLineChars="200"/>
        <w:jc w:val="both"/>
        <w:textAlignment w:val="auto"/>
        <w:rPr>
          <w:rFonts w:hint="eastAsia"/>
          <w:lang w:val="en-US" w:eastAsia="zh-CN"/>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本报告为年度报告</w:t>
      </w:r>
    </w:p>
    <w:p w14:paraId="4CCC8F0F">
      <w:pPr>
        <w:keepNext w:val="0"/>
        <w:keepLines w:val="0"/>
        <w:pageBreakBefore w:val="0"/>
        <w:widowControl w:val="0"/>
        <w:numPr>
          <w:ilvl w:val="0"/>
          <w:numId w:val="0"/>
        </w:numPr>
        <w:kinsoku/>
        <w:wordWrap/>
        <w:overflowPunct/>
        <w:topLinePunct w:val="0"/>
        <w:autoSpaceDE/>
        <w:autoSpaceDN/>
        <w:bidi w:val="0"/>
        <w:adjustRightInd/>
        <w:snapToGrid/>
        <w:spacing w:afterLines="0" w:line="560" w:lineRule="exact"/>
        <w:ind w:left="0" w:leftChars="0" w:firstLine="643" w:firstLineChars="200"/>
        <w:jc w:val="both"/>
        <w:textAlignment w:val="auto"/>
        <w:outlineLvl w:val="0"/>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pPr>
      <w:bookmarkStart w:id="11" w:name="_Toc4640"/>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编制原则：</w:t>
      </w:r>
      <w:bookmarkEnd w:id="11"/>
    </w:p>
    <w:p w14:paraId="2EC057FD">
      <w:pPr>
        <w:keepNext w:val="0"/>
        <w:keepLines w:val="0"/>
        <w:pageBreakBefore w:val="0"/>
        <w:widowControl w:val="0"/>
        <w:numPr>
          <w:ilvl w:val="0"/>
          <w:numId w:val="0"/>
        </w:numPr>
        <w:kinsoku/>
        <w:wordWrap/>
        <w:overflowPunct/>
        <w:topLinePunct w:val="0"/>
        <w:autoSpaceDE/>
        <w:autoSpaceDN/>
        <w:bidi w:val="0"/>
        <w:adjustRightInd/>
        <w:snapToGrid/>
        <w:spacing w:afterLines="0" w:line="560" w:lineRule="exact"/>
        <w:ind w:left="0" w:lef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shd w:val="clear"/>
          <w:lang w:val="en-US" w:eastAsia="zh-CN"/>
        </w:rPr>
        <w:t>真实性、及时性、一致性</w:t>
      </w:r>
    </w:p>
    <w:p w14:paraId="4B345718">
      <w:pPr>
        <w:keepNext w:val="0"/>
        <w:keepLines w:val="0"/>
        <w:pageBreakBefore w:val="0"/>
        <w:widowControl w:val="0"/>
        <w:numPr>
          <w:ilvl w:val="0"/>
          <w:numId w:val="0"/>
        </w:numPr>
        <w:kinsoku/>
        <w:wordWrap/>
        <w:overflowPunct/>
        <w:topLinePunct w:val="0"/>
        <w:autoSpaceDE/>
        <w:autoSpaceDN/>
        <w:bidi w:val="0"/>
        <w:adjustRightInd/>
        <w:snapToGrid/>
        <w:spacing w:afterLines="0" w:line="560" w:lineRule="exact"/>
        <w:ind w:left="0" w:leftChars="0" w:firstLine="643" w:firstLineChars="200"/>
        <w:jc w:val="both"/>
        <w:textAlignment w:val="auto"/>
        <w:outlineLvl w:val="0"/>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pPr>
      <w:bookmarkStart w:id="12" w:name="_Toc2049"/>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数据说明：</w:t>
      </w:r>
      <w:bookmarkEnd w:id="12"/>
    </w:p>
    <w:p w14:paraId="3BF5AAB7">
      <w:pPr>
        <w:keepNext w:val="0"/>
        <w:keepLines w:val="0"/>
        <w:pageBreakBefore w:val="0"/>
        <w:widowControl w:val="0"/>
        <w:kinsoku/>
        <w:wordWrap/>
        <w:overflowPunct/>
        <w:topLinePunct w:val="0"/>
        <w:autoSpaceDE/>
        <w:autoSpaceDN/>
        <w:bidi w:val="0"/>
        <w:adjustRightInd/>
        <w:snapToGrid/>
        <w:spacing w:afterLines="0" w:line="560" w:lineRule="exact"/>
        <w:textAlignment w:val="auto"/>
        <w:rPr>
          <w:rFonts w:hint="eastAsia" w:ascii="仿宋_GB2312" w:hAnsi="仿宋_GB2312" w:eastAsia="仿宋_GB2312" w:cs="仿宋_GB2312"/>
          <w:sz w:val="32"/>
          <w:szCs w:val="32"/>
          <w:highlight w:val="none"/>
          <w:shd w:val="clear" w:fill="FFC000" w:themeFill="accent4"/>
          <w:lang w:val="en-US" w:eastAsia="zh-CN"/>
        </w:rPr>
      </w:pPr>
      <w:r>
        <w:rPr>
          <w:rFonts w:hint="eastAsia" w:ascii="仿宋_GB2312" w:hAnsi="仿宋_GB2312" w:eastAsia="仿宋_GB2312" w:cs="仿宋_GB2312"/>
          <w:sz w:val="32"/>
          <w:szCs w:val="32"/>
          <w:highlight w:val="none"/>
          <w:shd w:val="clear"/>
          <w:lang w:val="en-US" w:eastAsia="zh-CN"/>
        </w:rPr>
        <w:t>本报告中的数据以2025年1月1日至2025年12月31日期间为主，部分包括2025年之前数据，主要来自江苏盐城农村商业银行股份有限公司内部文件和相关统计资料，本报告涉及币种均为人民币。</w:t>
      </w:r>
    </w:p>
    <w:p w14:paraId="34983571">
      <w:pPr>
        <w:keepNext w:val="0"/>
        <w:keepLines w:val="0"/>
        <w:pageBreakBefore w:val="0"/>
        <w:widowControl w:val="0"/>
        <w:numPr>
          <w:ilvl w:val="0"/>
          <w:numId w:val="0"/>
        </w:numPr>
        <w:kinsoku/>
        <w:wordWrap/>
        <w:overflowPunct/>
        <w:topLinePunct w:val="0"/>
        <w:autoSpaceDE/>
        <w:autoSpaceDN/>
        <w:bidi w:val="0"/>
        <w:adjustRightInd/>
        <w:snapToGrid/>
        <w:spacing w:afterLines="0" w:line="560" w:lineRule="exact"/>
        <w:ind w:left="0" w:leftChars="0" w:firstLine="643" w:firstLineChars="200"/>
        <w:textAlignment w:val="auto"/>
        <w:outlineLvl w:val="0"/>
        <w:rPr>
          <w:rFonts w:hint="eastAsia" w:ascii="仿宋_GB2312" w:hAnsi="仿宋_GB2312" w:eastAsia="仿宋_GB2312" w:cs="仿宋_GB2312"/>
          <w:sz w:val="32"/>
          <w:szCs w:val="32"/>
          <w:highlight w:val="none"/>
          <w:shd w:val="clear"/>
          <w:lang w:val="en-US" w:eastAsia="zh-CN"/>
        </w:rPr>
      </w:pPr>
      <w:bookmarkStart w:id="13" w:name="_Toc16661"/>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发布形式：</w:t>
      </w:r>
      <w:bookmarkEnd w:id="13"/>
    </w:p>
    <w:p w14:paraId="541F5ED2">
      <w:pPr>
        <w:keepNext w:val="0"/>
        <w:keepLines w:val="0"/>
        <w:pageBreakBefore w:val="0"/>
        <w:widowControl w:val="0"/>
        <w:numPr>
          <w:ilvl w:val="0"/>
          <w:numId w:val="0"/>
        </w:numPr>
        <w:kinsoku/>
        <w:wordWrap/>
        <w:overflowPunct/>
        <w:topLinePunct w:val="0"/>
        <w:autoSpaceDE/>
        <w:autoSpaceDN/>
        <w:bidi w:val="0"/>
        <w:adjustRightInd w:val="0"/>
        <w:snapToGrid w:val="0"/>
        <w:spacing w:afterLines="0" w:line="560" w:lineRule="exact"/>
        <w:ind w:left="0" w:leftChars="0" w:firstLine="640" w:firstLineChars="200"/>
        <w:textAlignment w:val="auto"/>
        <w:outlineLvl w:val="0"/>
        <w:rPr>
          <w:rFonts w:hint="eastAsia" w:ascii="仿宋_GB2312" w:hAnsi="仿宋_GB2312" w:eastAsia="仿宋_GB2312" w:cs="仿宋_GB2312"/>
          <w:sz w:val="32"/>
          <w:szCs w:val="32"/>
          <w:highlight w:val="none"/>
          <w:shd w:val="clear" w:fill="FFC000" w:themeFill="accent4"/>
          <w:lang w:val="en-US" w:eastAsia="zh-CN"/>
        </w:rPr>
      </w:pPr>
      <w:r>
        <w:rPr>
          <w:rFonts w:hint="eastAsia" w:ascii="仿宋_GB2312" w:hAnsi="仿宋_GB2312" w:eastAsia="仿宋_GB2312" w:cs="仿宋_GB2312"/>
          <w:sz w:val="32"/>
          <w:szCs w:val="32"/>
          <w:highlight w:val="none"/>
          <w:shd w:val="clear"/>
          <w:lang w:val="en-US" w:eastAsia="zh-CN"/>
        </w:rPr>
        <w:t>本报告以电子版形式发布在本行官网（www.jsycrcb.com）</w:t>
      </w:r>
    </w:p>
    <w:p w14:paraId="448F308D">
      <w:pPr>
        <w:keepNext w:val="0"/>
        <w:keepLines w:val="0"/>
        <w:pageBreakBefore w:val="0"/>
        <w:widowControl w:val="0"/>
        <w:numPr>
          <w:ilvl w:val="0"/>
          <w:numId w:val="0"/>
        </w:numPr>
        <w:kinsoku/>
        <w:wordWrap/>
        <w:overflowPunct/>
        <w:topLinePunct w:val="0"/>
        <w:autoSpaceDE/>
        <w:autoSpaceDN/>
        <w:bidi w:val="0"/>
        <w:adjustRightInd w:val="0"/>
        <w:snapToGrid w:val="0"/>
        <w:spacing w:afterLines="0" w:line="560" w:lineRule="exact"/>
        <w:ind w:left="0" w:leftChars="0" w:firstLine="643" w:firstLineChars="200"/>
        <w:jc w:val="both"/>
        <w:textAlignment w:val="auto"/>
        <w:outlineLvl w:val="0"/>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pPr>
      <w:bookmarkStart w:id="14" w:name="_Toc6947"/>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联系方式：</w:t>
      </w:r>
      <w:bookmarkEnd w:id="14"/>
    </w:p>
    <w:p w14:paraId="2ADE968C">
      <w:pPr>
        <w:keepNext w:val="0"/>
        <w:keepLines w:val="0"/>
        <w:pageBreakBefore w:val="0"/>
        <w:widowControl w:val="0"/>
        <w:numPr>
          <w:ilvl w:val="0"/>
          <w:numId w:val="4"/>
        </w:numPr>
        <w:kinsoku/>
        <w:wordWrap/>
        <w:overflowPunct/>
        <w:topLinePunct w:val="0"/>
        <w:autoSpaceDE/>
        <w:autoSpaceDN/>
        <w:bidi w:val="0"/>
        <w:adjustRightInd w:val="0"/>
        <w:snapToGrid w:val="0"/>
        <w:spacing w:afterLines="0" w:line="560" w:lineRule="exact"/>
        <w:ind w:left="0" w:leftChars="0" w:firstLine="640" w:firstLineChars="20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联系地址：江苏省盐城市新都西路8号</w:t>
      </w:r>
    </w:p>
    <w:p w14:paraId="07DB0011">
      <w:pPr>
        <w:keepNext w:val="0"/>
        <w:keepLines w:val="0"/>
        <w:pageBreakBefore w:val="0"/>
        <w:widowControl w:val="0"/>
        <w:numPr>
          <w:ilvl w:val="0"/>
          <w:numId w:val="4"/>
        </w:numPr>
        <w:kinsoku/>
        <w:wordWrap/>
        <w:overflowPunct/>
        <w:topLinePunct w:val="0"/>
        <w:autoSpaceDE/>
        <w:autoSpaceDN/>
        <w:bidi w:val="0"/>
        <w:adjustRightInd w:val="0"/>
        <w:snapToGrid w:val="0"/>
        <w:spacing w:afterLines="0" w:line="560" w:lineRule="exact"/>
        <w:ind w:left="0" w:leftChars="0" w:firstLine="640" w:firstLineChars="20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电子邮箱：ycnsyhbgs.com</w:t>
      </w:r>
    </w:p>
    <w:p w14:paraId="71F72945">
      <w:pPr>
        <w:keepNext w:val="0"/>
        <w:keepLines w:val="0"/>
        <w:pageBreakBefore w:val="0"/>
        <w:widowControl w:val="0"/>
        <w:numPr>
          <w:ilvl w:val="0"/>
          <w:numId w:val="4"/>
        </w:numPr>
        <w:kinsoku/>
        <w:wordWrap/>
        <w:overflowPunct/>
        <w:topLinePunct w:val="0"/>
        <w:autoSpaceDE/>
        <w:autoSpaceDN/>
        <w:bidi w:val="0"/>
        <w:adjustRightInd w:val="0"/>
        <w:snapToGrid w:val="0"/>
        <w:spacing w:afterLines="0" w:line="560" w:lineRule="exact"/>
        <w:ind w:left="0" w:leftChars="0" w:firstLine="640" w:firstLineChars="20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联系电话：0515-88350328</w:t>
      </w:r>
    </w:p>
    <w:p w14:paraId="7FD90008">
      <w:pPr>
        <w:pStyle w:val="13"/>
        <w:keepNext w:val="0"/>
        <w:keepLines w:val="0"/>
        <w:pageBreakBefore w:val="0"/>
        <w:widowControl/>
        <w:suppressLineNumbers w:val="0"/>
        <w:shd w:val="clear" w:fill="FFFFFF"/>
        <w:kinsoku/>
        <w:wordWrap/>
        <w:overflowPunct/>
        <w:topLinePunct w:val="0"/>
        <w:autoSpaceDE/>
        <w:autoSpaceDN/>
        <w:bidi w:val="0"/>
        <w:adjustRightInd/>
        <w:snapToGrid/>
        <w:spacing w:afterLines="0" w:line="560" w:lineRule="exact"/>
        <w:textAlignment w:val="auto"/>
        <w:rPr>
          <w:rFonts w:hint="eastAsia" w:ascii="仿宋_GB2312" w:hAnsi="仿宋_GB2312" w:eastAsia="仿宋_GB2312" w:cs="仿宋_GB2312"/>
          <w:sz w:val="32"/>
          <w:szCs w:val="32"/>
          <w:lang w:val="en-US" w:eastAsia="zh-CN"/>
        </w:rPr>
      </w:pPr>
      <w:bookmarkStart w:id="15" w:name="_Toc22755"/>
      <w:r>
        <w:rPr>
          <w:rFonts w:hint="eastAsia" w:ascii="仿宋_GB2312" w:hAnsi="仿宋_GB2312" w:eastAsia="仿宋_GB2312" w:cs="仿宋_GB2312"/>
          <w:sz w:val="32"/>
          <w:szCs w:val="32"/>
        </w:rPr>
        <w:br w:type="page"/>
      </w:r>
    </w:p>
    <w:bookmarkEnd w:id="15"/>
    <w:p w14:paraId="4DE01A30">
      <w:pPr>
        <w:keepNext w:val="0"/>
        <w:keepLines w:val="0"/>
        <w:pageBreakBefore w:val="0"/>
        <w:widowControl w:val="0"/>
        <w:numPr>
          <w:ilvl w:val="0"/>
          <w:numId w:val="5"/>
        </w:numPr>
        <w:kinsoku/>
        <w:wordWrap/>
        <w:overflowPunct/>
        <w:topLinePunct w:val="0"/>
        <w:autoSpaceDE/>
        <w:autoSpaceDN/>
        <w:bidi w:val="0"/>
        <w:adjustRightInd/>
        <w:snapToGrid/>
        <w:spacing w:before="0" w:beforeLines="0" w:after="0" w:afterLines="0" w:line="560" w:lineRule="exact"/>
        <w:ind w:left="0" w:leftChars="0" w:firstLine="0" w:firstLineChars="0"/>
        <w:jc w:val="center"/>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bookmarkStart w:id="16" w:name="一、年度概况"/>
      <w:r>
        <w:rPr>
          <w:rFonts w:hint="eastAsia" w:ascii="黑体" w:hAnsi="黑体" w:eastAsia="黑体" w:cs="黑体"/>
          <w:color w:val="000000" w:themeColor="text1"/>
          <w:sz w:val="32"/>
          <w:szCs w:val="32"/>
          <w:highlight w:val="none"/>
          <w:lang w:val="en-US" w:eastAsia="zh-CN"/>
          <w14:textFill>
            <w14:solidFill>
              <w14:schemeClr w14:val="tx1"/>
            </w14:solidFill>
          </w14:textFill>
        </w:rPr>
        <w:t>总体概况</w:t>
      </w:r>
    </w:p>
    <w:p w14:paraId="1938FAC7">
      <w:pPr>
        <w:pStyle w:val="8"/>
        <w:numPr>
          <w:ilvl w:val="0"/>
          <w:numId w:val="0"/>
        </w:numPr>
        <w:rPr>
          <w:rFonts w:hint="eastAsia"/>
          <w:lang w:val="en-US" w:eastAsia="zh-CN"/>
        </w:rPr>
      </w:pPr>
    </w:p>
    <w:bookmarkEnd w:id="16"/>
    <w:p w14:paraId="71BE0C5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themeColor="text1"/>
          <w:sz w:val="32"/>
          <w:szCs w:val="32"/>
          <w:highlight w:val="yellow"/>
          <w:lang w:val="en-US" w:eastAsia="zh-CN"/>
          <w14:textFill>
            <w14:solidFill>
              <w14:schemeClr w14:val="tx1"/>
            </w14:solidFill>
          </w14:textFill>
        </w:rPr>
      </w:pPr>
      <w:bookmarkStart w:id="17" w:name="_Toc15708"/>
      <w:bookmarkStart w:id="18" w:name="_Toc18799"/>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江苏盐城农村商业银行股份有限公司（以下简称“盐城农商银行”）前身为盐城市区信用联社，2010年5月26日，开业成立黄海农商银行；2015年3月16日，更名为盐城农商银行。截至报告期末，本行辖1家总行营业部、61家支行，网点遍布盐城主城区，并在东台城乡设有7个网点，在岗员工804人，注册资本11.50亿元。截至2025年末，存、贷款余额分别为 498.79亿元、449.97亿元，较年初分别增加42.27亿元、36.13亿元，增幅为 9.26%、8.73%。</w:t>
      </w:r>
    </w:p>
    <w:p w14:paraId="5D53E68C">
      <w:pPr>
        <w:pStyle w:val="8"/>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sz w:val="32"/>
          <w:szCs w:val="32"/>
          <w:lang w:val="en-US" w:eastAsia="zh-CN"/>
        </w:rPr>
        <w:t>我行坚持战略引领，将绿色金融深度融入全行中长期经营发展布局，</w:t>
      </w:r>
      <w:r>
        <w:rPr>
          <w:rFonts w:hint="eastAsia" w:ascii="仿宋_GB2312" w:hAnsi="仿宋_GB2312" w:eastAsia="仿宋_GB2312" w:cs="仿宋_GB2312"/>
          <w:color w:val="auto"/>
          <w:kern w:val="2"/>
          <w:sz w:val="32"/>
          <w:szCs w:val="32"/>
          <w:highlight w:val="none"/>
          <w:lang w:val="en-US" w:eastAsia="zh-CN" w:bidi="ar-SA"/>
        </w:rPr>
        <w:t>《江苏盐城农村商业银行股份有限公司2024-2026年发展战略规划》中将</w:t>
      </w:r>
      <w:r>
        <w:rPr>
          <w:rFonts w:hint="eastAsia" w:ascii="仿宋_GB2312" w:hAnsi="仿宋_GB2312" w:eastAsia="仿宋_GB2312" w:cs="仿宋_GB2312"/>
          <w:sz w:val="32"/>
          <w:szCs w:val="32"/>
          <w:lang w:val="en-US" w:eastAsia="zh-CN"/>
        </w:rPr>
        <w:t>绿色信贷投放、绿色金融服务、低碳产业赋能等工作列为全行重点战略任务，精准锚定绿色金融发展目标、实施路径和重点攻坚方向。针对性设定量化发展目标</w:t>
      </w:r>
      <w:r>
        <w:rPr>
          <w:rFonts w:hint="eastAsia" w:hAnsi="仿宋_GB2312" w:cs="仿宋_GB2312"/>
          <w:sz w:val="32"/>
          <w:szCs w:val="32"/>
          <w:lang w:val="en-US" w:eastAsia="zh-CN"/>
        </w:rPr>
        <w:t>。</w:t>
      </w:r>
      <w:r>
        <w:rPr>
          <w:rFonts w:hint="eastAsia" w:ascii="仿宋_GB2312" w:hAnsi="仿宋_GB2312" w:eastAsia="仿宋_GB2312" w:cs="仿宋_GB2312"/>
          <w:sz w:val="32"/>
          <w:szCs w:val="32"/>
          <w:lang w:val="en-US" w:eastAsia="zh-CN"/>
        </w:rPr>
        <w:t>规模层面，坚守绿色信贷优先发展原则，确保全行绿色信贷增速持续高于各项贷款增速；结构层面，聚焦区域生态农业、美丽乡村人居环境整治、清洁能源普及、节能环保、资源循环利用等本土重点绿色领域，精准滴灌绿色实体经济；风控层面，持续优化信贷结构，有序压降区域内高耗能、高排放行业授信规模及占比，持续净化信贷资产结构</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p>
    <w:p w14:paraId="0D678F26">
      <w:pPr>
        <w:pStyle w:val="8"/>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截至202</w:t>
      </w:r>
      <w:r>
        <w:rPr>
          <w:rFonts w:hint="eastAsia" w:hAnsi="仿宋_GB2312" w:cs="仿宋_GB2312"/>
          <w:color w:val="000000" w:themeColor="text1"/>
          <w:sz w:val="32"/>
          <w:szCs w:val="32"/>
          <w:highlight w:val="none"/>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年末，绿色信贷余额</w:t>
      </w:r>
      <w:r>
        <w:rPr>
          <w:rFonts w:hint="eastAsia" w:hAnsi="仿宋_GB2312" w:cs="仿宋_GB2312"/>
          <w:color w:val="000000" w:themeColor="text1"/>
          <w:sz w:val="32"/>
          <w:szCs w:val="32"/>
          <w:highlight w:val="none"/>
          <w:lang w:val="en-US" w:eastAsia="zh-CN"/>
          <w14:textFill>
            <w14:solidFill>
              <w14:schemeClr w14:val="tx1"/>
            </w14:solidFill>
          </w14:textFill>
        </w:rPr>
        <w:t>11.87</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亿元，较年初增加</w:t>
      </w:r>
      <w:r>
        <w:rPr>
          <w:rFonts w:hint="eastAsia" w:hAnsi="仿宋_GB2312" w:cs="仿宋_GB2312"/>
          <w:color w:val="000000" w:themeColor="text1"/>
          <w:sz w:val="32"/>
          <w:szCs w:val="32"/>
          <w:highlight w:val="none"/>
          <w:lang w:val="en-US" w:eastAsia="zh-CN"/>
          <w14:textFill>
            <w14:solidFill>
              <w14:schemeClr w14:val="tx1"/>
            </w14:solidFill>
          </w14:textFill>
        </w:rPr>
        <w:t>3.07</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亿元，增幅</w:t>
      </w:r>
      <w:r>
        <w:rPr>
          <w:rFonts w:hint="eastAsia" w:hAnsi="仿宋_GB2312" w:cs="仿宋_GB2312"/>
          <w:color w:val="000000" w:themeColor="text1"/>
          <w:sz w:val="32"/>
          <w:szCs w:val="32"/>
          <w:highlight w:val="none"/>
          <w:lang w:val="en-US" w:eastAsia="zh-CN"/>
          <w14:textFill>
            <w14:solidFill>
              <w14:schemeClr w14:val="tx1"/>
            </w14:solidFill>
          </w14:textFill>
        </w:rPr>
        <w:t>34.93</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%，高于各项贷款增速</w:t>
      </w:r>
      <w:r>
        <w:rPr>
          <w:rFonts w:hint="eastAsia" w:hAnsi="仿宋_GB2312" w:cs="仿宋_GB2312"/>
          <w:color w:val="000000" w:themeColor="text1"/>
          <w:sz w:val="32"/>
          <w:szCs w:val="32"/>
          <w:highlight w:val="none"/>
          <w:lang w:val="en-US" w:eastAsia="zh-CN"/>
          <w14:textFill>
            <w14:solidFill>
              <w14:schemeClr w14:val="tx1"/>
            </w14:solidFill>
          </w14:textFill>
        </w:rPr>
        <w:t>26.2</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个百分点。全年获得上级单位各类荣誉表彰30余项。被</w:t>
      </w:r>
      <w:r>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t>盐城市残疾人联合会</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授予“爱心企业”称号；获得2025年度中国金融传媒“宣传四力建设优秀工作品牌”；被市金融业联合会评为2025年度宣传文化工作考核“优秀单位”；以打击防范非法中介为主题，拍摄微电影《“贷”价》，荣获“江苏省优秀金融教育案例三等奖”，被市金融业联合会评为“防范非法金融活动短视频征集大赛一等奖”；申报支持乡村振兴案例，入选《中国经济时报》2025年度“深耕农村金融 赋能乡村振兴”优秀案例。被中国人民银行盐城市分行评为“2025年度盐城市银行业金融机构服务乡村振兴考核评估优秀档次”，全市八家农商银行仅盐城一家获此殊荣。在江苏农商联合银行2025年度综合考核中获评“第一等次”，高质量发展绩效评价获得“优胜奖单位”，行党委领导班子被评为“优秀等次”。</w:t>
      </w:r>
    </w:p>
    <w:p w14:paraId="4169128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lang w:val="en-US" w:eastAsia="zh-CN"/>
        </w:rPr>
      </w:pPr>
    </w:p>
    <w:p w14:paraId="288F9DA8">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left="0" w:leftChars="0" w:firstLine="482" w:firstLineChars="0"/>
        <w:jc w:val="center"/>
        <w:textAlignment w:val="auto"/>
        <w:rPr>
          <w:rFonts w:hint="eastAsia"/>
          <w:lang w:val="en-US" w:eastAsia="zh-CN"/>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 xml:space="preserve">第二部分 </w:t>
      </w:r>
      <w:r>
        <w:rPr>
          <w:rFonts w:hint="eastAsia" w:ascii="黑体" w:hAnsi="黑体" w:eastAsia="黑体" w:cs="黑体"/>
          <w:color w:val="000000" w:themeColor="text1"/>
          <w:sz w:val="32"/>
          <w:szCs w:val="32"/>
          <w:highlight w:val="none"/>
          <w:lang w:val="en-US" w:eastAsia="zh-CN"/>
          <w14:textFill>
            <w14:solidFill>
              <w14:schemeClr w14:val="tx1"/>
            </w14:solidFill>
          </w14:textFill>
        </w:rPr>
        <w:t>环境相关治理结构</w:t>
      </w:r>
      <w:bookmarkEnd w:id="17"/>
      <w:bookmarkEnd w:id="18"/>
    </w:p>
    <w:p w14:paraId="28BBB4D9">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firstLine="640" w:firstLineChars="200"/>
        <w:textAlignment w:val="auto"/>
        <w:outlineLvl w:val="0"/>
        <w:rPr>
          <w:rFonts w:hint="eastAsia" w:ascii="黑体" w:hAnsi="黑体" w:eastAsia="黑体" w:cs="黑体"/>
          <w:b w:val="0"/>
          <w:bCs w:val="0"/>
          <w:color w:val="auto"/>
          <w:sz w:val="32"/>
          <w:szCs w:val="32"/>
          <w:lang w:val="en-US" w:eastAsia="zh-CN"/>
        </w:rPr>
      </w:pPr>
      <w:bookmarkStart w:id="19" w:name="_Toc3063"/>
      <w:r>
        <w:rPr>
          <w:rFonts w:hint="eastAsia" w:ascii="黑体" w:hAnsi="黑体" w:eastAsia="黑体" w:cs="黑体"/>
          <w:b w:val="0"/>
          <w:bCs w:val="0"/>
          <w:color w:val="auto"/>
          <w:sz w:val="32"/>
          <w:szCs w:val="32"/>
          <w:lang w:val="en-US" w:eastAsia="zh-CN"/>
        </w:rPr>
        <w:t>一、董事会层面</w:t>
      </w:r>
      <w:bookmarkEnd w:id="19"/>
    </w:p>
    <w:p w14:paraId="79BAC5CD">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firstLine="640" w:firstLineChars="20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2025年度，本行暂未设立专门的绿色金融委员会。本行将绿色金融视为履行社会责任的关键领域，董事会作为社会责任管理的最高决策层级，承担绿色金融发展战略的最终审定职责，负责审批管理层拟定的绿色金融目标及相关工作报告，并对战略执行情况实施监督与考核评价。</w:t>
      </w:r>
    </w:p>
    <w:p w14:paraId="2E018378">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firstLine="640" w:firstLineChars="200"/>
        <w:textAlignment w:val="auto"/>
        <w:outlineLvl w:val="0"/>
        <w:rPr>
          <w:rFonts w:hint="eastAsia" w:ascii="黑体" w:hAnsi="黑体" w:eastAsia="黑体" w:cs="黑体"/>
          <w:b w:val="0"/>
          <w:bCs w:val="0"/>
          <w:color w:val="auto"/>
          <w:sz w:val="32"/>
          <w:szCs w:val="32"/>
          <w:lang w:val="en-US" w:eastAsia="zh-CN"/>
        </w:rPr>
      </w:pPr>
      <w:bookmarkStart w:id="20" w:name="_Toc14231"/>
      <w:r>
        <w:rPr>
          <w:rFonts w:hint="eastAsia" w:ascii="黑体" w:hAnsi="黑体" w:eastAsia="黑体" w:cs="黑体"/>
          <w:b w:val="0"/>
          <w:bCs w:val="0"/>
          <w:color w:val="auto"/>
          <w:sz w:val="32"/>
          <w:szCs w:val="32"/>
          <w:lang w:val="en-US" w:eastAsia="zh-CN"/>
        </w:rPr>
        <w:t>二、高级管理层层面</w:t>
      </w:r>
      <w:bookmarkEnd w:id="20"/>
    </w:p>
    <w:p w14:paraId="550CC32D">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firstLine="640" w:firstLineChars="20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高级管理层依据董事会授权，负责拟定绿色信贷年度目标与工作计划，建立健全配套机制与操作流程，清晰界定各部门职责与审批权限；同步开展内部控制检查与绩效考评，确保管理闭环。管理层每年须向董事会汇报绿色金融推进情况，并按时向监管部门报送相关信息。本行明确信贷管理部为绿色金融工作的牵头部门，统筹负责从发展规划、年度目标、工作计划到制度办法的起草与落地执行，并协调处理绿色金融其他相关事项。</w:t>
      </w:r>
    </w:p>
    <w:p w14:paraId="68EC5E6B">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firstLine="640" w:firstLineChars="200"/>
        <w:textAlignment w:val="auto"/>
        <w:outlineLvl w:val="0"/>
        <w:rPr>
          <w:rFonts w:hint="eastAsia" w:ascii="黑体" w:hAnsi="黑体" w:eastAsia="黑体" w:cs="黑体"/>
          <w:b w:val="0"/>
          <w:bCs w:val="0"/>
          <w:sz w:val="32"/>
          <w:szCs w:val="32"/>
          <w:lang w:val="en-US" w:eastAsia="zh-CN"/>
        </w:rPr>
      </w:pPr>
      <w:bookmarkStart w:id="21" w:name="_Toc26629"/>
      <w:r>
        <w:rPr>
          <w:rFonts w:hint="eastAsia" w:ascii="黑体" w:hAnsi="黑体" w:eastAsia="黑体" w:cs="黑体"/>
          <w:b w:val="0"/>
          <w:bCs w:val="0"/>
          <w:sz w:val="32"/>
          <w:szCs w:val="32"/>
          <w:lang w:val="en-US" w:eastAsia="zh-CN"/>
        </w:rPr>
        <w:t>三、各专业部门</w:t>
      </w:r>
      <w:bookmarkEnd w:id="21"/>
    </w:p>
    <w:p w14:paraId="6C67B7F9">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firstLine="640" w:firstLineChars="200"/>
        <w:textAlignment w:val="auto"/>
        <w:rPr>
          <w:rFonts w:hint="default"/>
          <w:sz w:val="32"/>
          <w:szCs w:val="32"/>
          <w:lang w:val="en-US" w:eastAsia="zh-CN"/>
        </w:rPr>
      </w:pPr>
      <w:r>
        <w:rPr>
          <w:rFonts w:hint="eastAsia" w:ascii="仿宋_GB2312" w:hAnsi="仿宋_GB2312" w:eastAsia="仿宋_GB2312" w:cs="仿宋_GB2312"/>
          <w:color w:val="000000" w:themeColor="text1"/>
          <w:sz w:val="32"/>
          <w:szCs w:val="32"/>
          <w:highlight w:val="none"/>
          <w:shd w:val="clear"/>
          <w:lang w:val="en-US" w:eastAsia="zh-CN"/>
          <w14:textFill>
            <w14:solidFill>
              <w14:schemeClr w14:val="tx1"/>
            </w14:solidFill>
          </w14:textFill>
        </w:rPr>
        <w:t>本行各专业部门在环境相关治理结构中的职责见下表。</w:t>
      </w:r>
    </w:p>
    <w:tbl>
      <w:tblPr>
        <w:tblStyle w:val="18"/>
        <w:tblW w:w="8453" w:type="dxa"/>
        <w:tblInd w:w="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67"/>
        <w:gridCol w:w="5486"/>
      </w:tblGrid>
      <w:tr w14:paraId="04BAE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blHeader/>
        </w:trPr>
        <w:tc>
          <w:tcPr>
            <w:tcW w:w="2967" w:type="dxa"/>
            <w:vAlign w:val="center"/>
          </w:tcPr>
          <w:p w14:paraId="6795DC1E">
            <w:pPr>
              <w:pStyle w:val="22"/>
              <w:bidi w:val="0"/>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部门名称</w:t>
            </w:r>
          </w:p>
        </w:tc>
        <w:tc>
          <w:tcPr>
            <w:tcW w:w="5486" w:type="dxa"/>
            <w:vAlign w:val="center"/>
          </w:tcPr>
          <w:p w14:paraId="334304BC">
            <w:pPr>
              <w:pStyle w:val="22"/>
              <w:bidi w:val="0"/>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职责描述</w:t>
            </w:r>
          </w:p>
        </w:tc>
      </w:tr>
      <w:tr w14:paraId="2D93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967" w:type="dxa"/>
            <w:vAlign w:val="center"/>
          </w:tcPr>
          <w:p w14:paraId="38FE9F60">
            <w:pPr>
              <w:pStyle w:val="22"/>
              <w:bidi w:val="0"/>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i w:val="0"/>
                <w:iCs w:val="0"/>
                <w:caps w:val="0"/>
                <w:spacing w:val="0"/>
                <w:sz w:val="24"/>
                <w:szCs w:val="24"/>
                <w:shd w:val="clear" w:fill="FAFAFA"/>
              </w:rPr>
              <w:t>风险管理部</w:t>
            </w:r>
          </w:p>
        </w:tc>
        <w:tc>
          <w:tcPr>
            <w:tcW w:w="5486" w:type="dxa"/>
            <w:vAlign w:val="center"/>
          </w:tcPr>
          <w:p w14:paraId="63525E9E">
            <w:pPr>
              <w:pStyle w:val="22"/>
              <w:bidi w:val="0"/>
              <w:jc w:val="left"/>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负责构建并完善环境与社会风险管理体系，推动风险识别、监测与管控在全行范围内的有效覆盖。</w:t>
            </w:r>
          </w:p>
        </w:tc>
      </w:tr>
      <w:tr w14:paraId="3DC67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967" w:type="dxa"/>
            <w:vAlign w:val="center"/>
          </w:tcPr>
          <w:p w14:paraId="3DD85CC3">
            <w:pPr>
              <w:pStyle w:val="22"/>
              <w:bidi w:val="0"/>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信贷管理部</w:t>
            </w:r>
          </w:p>
        </w:tc>
        <w:tc>
          <w:tcPr>
            <w:tcW w:w="5486" w:type="dxa"/>
            <w:vAlign w:val="center"/>
          </w:tcPr>
          <w:p w14:paraId="480C2D3F">
            <w:pPr>
              <w:pStyle w:val="22"/>
              <w:bidi w:val="0"/>
              <w:jc w:val="left"/>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作为绿色金融工作的归口管理部门，统筹推进绿色金融总体规划、年度目标、工作计划及配套制度的制定与落地实施。</w:t>
            </w:r>
          </w:p>
        </w:tc>
      </w:tr>
      <w:tr w14:paraId="55A0D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967" w:type="dxa"/>
            <w:vAlign w:val="center"/>
          </w:tcPr>
          <w:p w14:paraId="1912D4A7">
            <w:pPr>
              <w:pStyle w:val="22"/>
              <w:bidi w:val="0"/>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授信评审部</w:t>
            </w:r>
          </w:p>
        </w:tc>
        <w:tc>
          <w:tcPr>
            <w:tcW w:w="5486" w:type="dxa"/>
            <w:vAlign w:val="center"/>
          </w:tcPr>
          <w:p w14:paraId="60EAB55E">
            <w:pPr>
              <w:pStyle w:val="22"/>
              <w:bidi w:val="0"/>
              <w:jc w:val="left"/>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负责绿色贷款业务的授信准入与审批管理，开通并运行绿色贷款快速审批通道，提升审批效率。</w:t>
            </w:r>
          </w:p>
        </w:tc>
      </w:tr>
      <w:tr w14:paraId="17150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967" w:type="dxa"/>
            <w:vAlign w:val="center"/>
          </w:tcPr>
          <w:p w14:paraId="1336EDB7">
            <w:pPr>
              <w:pStyle w:val="22"/>
              <w:bidi w:val="0"/>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公司金融部</w:t>
            </w:r>
          </w:p>
        </w:tc>
        <w:tc>
          <w:tcPr>
            <w:tcW w:w="5486" w:type="dxa"/>
            <w:vAlign w:val="center"/>
          </w:tcPr>
          <w:p w14:paraId="231F890D">
            <w:pPr>
              <w:pStyle w:val="22"/>
              <w:bidi w:val="0"/>
              <w:jc w:val="left"/>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负责全行对公客户绿色贷款业务的内外部政策研判与市场分析，制定年度工作目标与推进计划，研发绿色信贷创新产品，并牵头推动对公绿色信贷业务规模与质量提升。</w:t>
            </w:r>
          </w:p>
        </w:tc>
      </w:tr>
      <w:tr w14:paraId="59A13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967" w:type="dxa"/>
            <w:vAlign w:val="center"/>
          </w:tcPr>
          <w:p w14:paraId="564C310B">
            <w:pPr>
              <w:pStyle w:val="22"/>
              <w:bidi w:val="0"/>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普惠金融部</w:t>
            </w:r>
          </w:p>
        </w:tc>
        <w:tc>
          <w:tcPr>
            <w:tcW w:w="5486" w:type="dxa"/>
            <w:vAlign w:val="center"/>
          </w:tcPr>
          <w:p w14:paraId="0B640779">
            <w:pPr>
              <w:pStyle w:val="22"/>
              <w:bidi w:val="0"/>
              <w:jc w:val="left"/>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负责全行个人客户绿色信贷业务的组织推动与日常管理，促进普惠金融与绿色金融协同发展。</w:t>
            </w:r>
          </w:p>
        </w:tc>
      </w:tr>
    </w:tbl>
    <w:p w14:paraId="7E55020F">
      <w:pPr>
        <w:spacing w:line="560" w:lineRule="exact"/>
        <w:ind w:left="0" w:leftChars="0" w:firstLine="0" w:firstLineChars="0"/>
        <w:jc w:val="both"/>
        <w:rPr>
          <w:rFonts w:hint="eastAsia"/>
          <w:lang w:val="en-US" w:eastAsia="zh-CN"/>
        </w:rPr>
      </w:pPr>
      <w:bookmarkStart w:id="22" w:name="_Toc23118"/>
      <w:bookmarkStart w:id="23" w:name="_Toc27236"/>
    </w:p>
    <w:p w14:paraId="49E0B781">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20" w:lineRule="exact"/>
        <w:ind w:left="0" w:leftChars="0" w:firstLine="0" w:firstLineChars="0"/>
        <w:jc w:val="center"/>
        <w:textAlignment w:val="auto"/>
        <w:rPr>
          <w:rFonts w:hint="eastAsia" w:ascii="黑体" w:hAnsi="黑体" w:eastAsia="黑体" w:cs="黑体"/>
          <w:b w:val="0"/>
          <w:bCs w:val="0"/>
          <w:lang w:val="en-US" w:eastAsia="zh-CN"/>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 xml:space="preserve">第三部分 </w:t>
      </w:r>
      <w:r>
        <w:rPr>
          <w:rFonts w:hint="default" w:ascii="黑体" w:hAnsi="黑体" w:eastAsia="黑体" w:cs="黑体"/>
          <w:color w:val="000000" w:themeColor="text1"/>
          <w:highlight w:val="none"/>
          <w:lang w:val="en-US" w:eastAsia="zh-CN"/>
          <w14:textFill>
            <w14:solidFill>
              <w14:schemeClr w14:val="tx1"/>
            </w14:solidFill>
          </w14:textFill>
        </w:rPr>
        <w:t>环境相关政策制度</w:t>
      </w:r>
      <w:bookmarkEnd w:id="22"/>
      <w:bookmarkEnd w:id="23"/>
    </w:p>
    <w:p w14:paraId="29466805">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outlineLvl w:val="0"/>
        <w:rPr>
          <w:rFonts w:hint="default" w:ascii="黑体" w:hAnsi="黑体" w:eastAsia="黑体" w:cs="黑体"/>
          <w:b w:val="0"/>
          <w:bCs w:val="0"/>
          <w:color w:val="auto"/>
          <w:lang w:val="en-US" w:eastAsia="zh-CN"/>
        </w:rPr>
      </w:pPr>
      <w:r>
        <w:rPr>
          <w:rFonts w:hint="eastAsia" w:ascii="黑体" w:hAnsi="黑体" w:eastAsia="黑体" w:cs="黑体"/>
          <w:b w:val="0"/>
          <w:bCs w:val="0"/>
          <w:color w:val="auto"/>
          <w:lang w:val="en-US" w:eastAsia="zh-CN"/>
        </w:rPr>
        <w:t>一、外部</w:t>
      </w:r>
      <w:r>
        <w:rPr>
          <w:rFonts w:hint="default" w:ascii="黑体" w:hAnsi="黑体" w:eastAsia="黑体" w:cs="黑体"/>
          <w:b w:val="0"/>
          <w:bCs w:val="0"/>
          <w:color w:val="auto"/>
          <w:lang w:val="en-US" w:eastAsia="zh-CN"/>
        </w:rPr>
        <w:t>环境相关政策制度</w:t>
      </w:r>
    </w:p>
    <w:tbl>
      <w:tblPr>
        <w:tblStyle w:val="17"/>
        <w:tblW w:w="841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293"/>
        <w:gridCol w:w="2507"/>
        <w:gridCol w:w="3619"/>
      </w:tblGrid>
      <w:tr w14:paraId="69353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1" w:hRule="atLeast"/>
        </w:trPr>
        <w:tc>
          <w:tcPr>
            <w:tcW w:w="2293" w:type="dxa"/>
            <w:shd w:val="clear" w:color="auto" w:fill="auto"/>
            <w:noWrap/>
            <w:vAlign w:val="center"/>
          </w:tcPr>
          <w:p w14:paraId="25ADFD32">
            <w:pPr>
              <w:keepNext w:val="0"/>
              <w:keepLines w:val="0"/>
              <w:widowControl/>
              <w:suppressLineNumbers w:val="0"/>
              <w:jc w:val="both"/>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发文单位</w:t>
            </w:r>
          </w:p>
        </w:tc>
        <w:tc>
          <w:tcPr>
            <w:tcW w:w="2507" w:type="dxa"/>
            <w:shd w:val="clear" w:color="auto" w:fill="auto"/>
            <w:noWrap/>
            <w:vAlign w:val="center"/>
          </w:tcPr>
          <w:p w14:paraId="0B512A86">
            <w:pPr>
              <w:keepNext w:val="0"/>
              <w:keepLines w:val="0"/>
              <w:widowControl/>
              <w:suppressLineNumbers w:val="0"/>
              <w:jc w:val="both"/>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文件名称</w:t>
            </w:r>
          </w:p>
        </w:tc>
        <w:tc>
          <w:tcPr>
            <w:tcW w:w="3619" w:type="dxa"/>
            <w:shd w:val="clear" w:color="auto" w:fill="auto"/>
            <w:noWrap/>
            <w:vAlign w:val="center"/>
          </w:tcPr>
          <w:p w14:paraId="1A776665">
            <w:pPr>
              <w:keepNext w:val="0"/>
              <w:keepLines w:val="0"/>
              <w:widowControl/>
              <w:suppressLineNumbers w:val="0"/>
              <w:jc w:val="both"/>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本行相应措施</w:t>
            </w:r>
          </w:p>
        </w:tc>
      </w:tr>
      <w:tr w14:paraId="79BAB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2293" w:type="dxa"/>
            <w:shd w:val="clear" w:color="auto" w:fill="auto"/>
            <w:noWrap/>
            <w:vAlign w:val="center"/>
          </w:tcPr>
          <w:p w14:paraId="7224F1D1">
            <w:pPr>
              <w:pStyle w:val="22"/>
              <w:bidi w:val="0"/>
              <w:ind w:firstLine="0" w:firstLineChars="0"/>
              <w:jc w:val="center"/>
              <w:rPr>
                <w:rFonts w:hint="eastAsia" w:ascii="仿宋_GB2312" w:hAnsi="仿宋_GB2312" w:eastAsia="仿宋_GB2312" w:cs="仿宋_GB2312"/>
                <w:b w:val="0"/>
                <w:bCs w:val="0"/>
                <w:i w:val="0"/>
                <w:iCs w:val="0"/>
                <w:caps w:val="0"/>
                <w:spacing w:val="0"/>
                <w:sz w:val="24"/>
                <w:szCs w:val="24"/>
                <w:shd w:val="clear" w:fill="FAFAFA"/>
              </w:rPr>
            </w:pPr>
            <w:r>
              <w:rPr>
                <w:rFonts w:hint="eastAsia" w:ascii="仿宋_GB2312" w:hAnsi="仿宋_GB2312" w:eastAsia="仿宋_GB2312" w:cs="仿宋_GB2312"/>
                <w:b w:val="0"/>
                <w:bCs w:val="0"/>
                <w:i w:val="0"/>
                <w:iCs w:val="0"/>
                <w:caps w:val="0"/>
                <w:spacing w:val="0"/>
                <w:sz w:val="24"/>
                <w:szCs w:val="24"/>
                <w:shd w:val="clear" w:fill="FAFAFA"/>
                <w:lang w:val="en-US" w:eastAsia="zh-CN"/>
              </w:rPr>
              <w:t>中共中央国务院</w:t>
            </w:r>
          </w:p>
        </w:tc>
        <w:tc>
          <w:tcPr>
            <w:tcW w:w="2507" w:type="dxa"/>
            <w:shd w:val="clear" w:color="auto" w:fill="auto"/>
            <w:vAlign w:val="center"/>
          </w:tcPr>
          <w:p w14:paraId="5D4237D7">
            <w:pPr>
              <w:pStyle w:val="22"/>
              <w:bidi w:val="0"/>
              <w:ind w:firstLine="0" w:firstLineChars="0"/>
              <w:jc w:val="center"/>
              <w:rPr>
                <w:rFonts w:hint="eastAsia" w:ascii="仿宋_GB2312" w:hAnsi="仿宋_GB2312" w:eastAsia="仿宋_GB2312" w:cs="仿宋_GB2312"/>
                <w:b w:val="0"/>
                <w:bCs w:val="0"/>
                <w:i w:val="0"/>
                <w:iCs w:val="0"/>
                <w:caps w:val="0"/>
                <w:spacing w:val="0"/>
                <w:sz w:val="24"/>
                <w:szCs w:val="24"/>
                <w:shd w:val="clear" w:fill="FAFAFA"/>
              </w:rPr>
            </w:pPr>
            <w:r>
              <w:rPr>
                <w:rFonts w:hint="eastAsia" w:ascii="仿宋_GB2312" w:hAnsi="仿宋_GB2312" w:eastAsia="仿宋_GB2312" w:cs="仿宋_GB2312"/>
                <w:b w:val="0"/>
                <w:bCs w:val="0"/>
                <w:i w:val="0"/>
                <w:iCs w:val="0"/>
                <w:caps w:val="0"/>
                <w:spacing w:val="0"/>
                <w:sz w:val="24"/>
                <w:szCs w:val="24"/>
                <w:shd w:val="clear" w:fill="FAFAFA"/>
                <w:lang w:val="en-US" w:eastAsia="zh-CN"/>
              </w:rPr>
              <w:t>《关于加快建立健全绿色低碳循环发展经济体系的指导意见》、《关于完整准确全面贯彻新发展理念做好碳达峰碳中和工作的意见》、《2030年前碳达峰行动方案》</w:t>
            </w:r>
          </w:p>
        </w:tc>
        <w:tc>
          <w:tcPr>
            <w:tcW w:w="3619" w:type="dxa"/>
            <w:shd w:val="clear" w:color="auto" w:fill="auto"/>
            <w:vAlign w:val="center"/>
          </w:tcPr>
          <w:p w14:paraId="1E7FB17D">
            <w:pPr>
              <w:pStyle w:val="22"/>
              <w:bidi w:val="0"/>
              <w:ind w:firstLine="0" w:firstLineChars="0"/>
              <w:jc w:val="left"/>
              <w:rPr>
                <w:rFonts w:hint="eastAsia" w:ascii="仿宋_GB2312" w:hAnsi="仿宋_GB2312" w:eastAsia="仿宋_GB2312" w:cs="仿宋_GB2312"/>
                <w:b w:val="0"/>
                <w:bCs w:val="0"/>
                <w:i w:val="0"/>
                <w:iCs w:val="0"/>
                <w:caps w:val="0"/>
                <w:spacing w:val="0"/>
                <w:sz w:val="24"/>
                <w:szCs w:val="24"/>
                <w:shd w:val="clear" w:fill="FAFAFA"/>
              </w:rPr>
            </w:pPr>
            <w:r>
              <w:rPr>
                <w:rFonts w:hint="eastAsia" w:ascii="仿宋_GB2312" w:hAnsi="仿宋_GB2312" w:eastAsia="仿宋_GB2312" w:cs="仿宋_GB2312"/>
                <w:b w:val="0"/>
                <w:bCs w:val="0"/>
                <w:i w:val="0"/>
                <w:iCs w:val="0"/>
                <w:caps w:val="0"/>
                <w:spacing w:val="0"/>
                <w:sz w:val="24"/>
                <w:szCs w:val="24"/>
                <w:shd w:val="clear" w:fill="FAFAFA"/>
                <w:lang w:val="en-US" w:eastAsia="zh-CN"/>
              </w:rPr>
              <w:t>深入践行绿色低碳发展理念，坚决贯彻落实碳达峰碳中和重大战略部署，协同推进降碳、减污、扩绿、增长。将绿色发展全面纳入本行战略目标体系，持续提升绿色金融综合服务能力，有力支撑经济社会全面绿色转型。</w:t>
            </w:r>
          </w:p>
        </w:tc>
      </w:tr>
      <w:tr w14:paraId="36516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2293" w:type="dxa"/>
            <w:shd w:val="clear" w:color="auto" w:fill="auto"/>
            <w:noWrap/>
            <w:vAlign w:val="center"/>
          </w:tcPr>
          <w:p w14:paraId="3219AA1F">
            <w:pPr>
              <w:pStyle w:val="22"/>
              <w:bidi w:val="0"/>
              <w:ind w:firstLine="0" w:firstLineChars="0"/>
              <w:jc w:val="center"/>
              <w:rPr>
                <w:rFonts w:hint="default" w:ascii="仿宋_GB2312" w:hAnsi="仿宋_GB2312" w:eastAsia="仿宋_GB2312" w:cs="仿宋_GB2312"/>
                <w:b w:val="0"/>
                <w:bCs w:val="0"/>
                <w:i w:val="0"/>
                <w:iCs w:val="0"/>
                <w:caps w:val="0"/>
                <w:spacing w:val="0"/>
                <w:sz w:val="24"/>
                <w:szCs w:val="24"/>
                <w:shd w:val="clear" w:fill="FAFAFA"/>
                <w:lang w:val="en-US"/>
              </w:rPr>
            </w:pPr>
            <w:r>
              <w:rPr>
                <w:rFonts w:hint="eastAsia" w:ascii="仿宋_GB2312" w:hAnsi="仿宋_GB2312" w:eastAsia="仿宋_GB2312" w:cs="仿宋_GB2312"/>
                <w:b w:val="0"/>
                <w:bCs w:val="0"/>
                <w:i w:val="0"/>
                <w:iCs w:val="0"/>
                <w:caps w:val="0"/>
                <w:spacing w:val="0"/>
                <w:sz w:val="24"/>
                <w:szCs w:val="24"/>
                <w:shd w:val="clear" w:fill="FAFAFA"/>
                <w:lang w:val="en-US" w:eastAsia="zh-CN"/>
              </w:rPr>
              <w:t>中国人民银行</w:t>
            </w:r>
          </w:p>
        </w:tc>
        <w:tc>
          <w:tcPr>
            <w:tcW w:w="2507" w:type="dxa"/>
            <w:shd w:val="clear" w:color="auto" w:fill="auto"/>
            <w:vAlign w:val="center"/>
          </w:tcPr>
          <w:p w14:paraId="2657B71A">
            <w:pPr>
              <w:pStyle w:val="22"/>
              <w:bidi w:val="0"/>
              <w:ind w:firstLine="0" w:firstLineChars="0"/>
              <w:jc w:val="left"/>
              <w:rPr>
                <w:rFonts w:hint="eastAsia" w:ascii="仿宋_GB2312" w:hAnsi="仿宋_GB2312" w:eastAsia="仿宋_GB2312" w:cs="仿宋_GB2312"/>
                <w:b w:val="0"/>
                <w:bCs w:val="0"/>
                <w:i w:val="0"/>
                <w:iCs w:val="0"/>
                <w:caps w:val="0"/>
                <w:spacing w:val="0"/>
                <w:sz w:val="24"/>
                <w:szCs w:val="24"/>
                <w:shd w:val="clear" w:fill="FAFAFA"/>
                <w:lang w:val="en-US" w:eastAsia="zh-CN"/>
              </w:rPr>
            </w:pPr>
            <w:r>
              <w:rPr>
                <w:rFonts w:hint="eastAsia" w:ascii="仿宋_GB2312" w:hAnsi="仿宋_GB2312" w:eastAsia="仿宋_GB2312" w:cs="仿宋_GB2312"/>
                <w:b w:val="0"/>
                <w:bCs w:val="0"/>
                <w:i w:val="0"/>
                <w:iCs w:val="0"/>
                <w:caps w:val="0"/>
                <w:spacing w:val="0"/>
                <w:sz w:val="24"/>
                <w:szCs w:val="24"/>
                <w:shd w:val="clear" w:fill="FAFAFA"/>
                <w:lang w:val="en-US" w:eastAsia="zh-CN"/>
              </w:rPr>
              <w:t>《银行业金融机构绿色金融评价方案》</w:t>
            </w:r>
            <w:r>
              <w:rPr>
                <w:rFonts w:hint="default" w:ascii="仿宋_GB2312" w:hAnsi="仿宋_GB2312" w:eastAsia="仿宋_GB2312" w:cs="仿宋_GB2312"/>
                <w:b w:val="0"/>
                <w:bCs w:val="0"/>
                <w:i w:val="0"/>
                <w:iCs w:val="0"/>
                <w:caps w:val="0"/>
                <w:spacing w:val="0"/>
                <w:sz w:val="24"/>
                <w:szCs w:val="24"/>
                <w:shd w:val="clear" w:fill="FAFAFA"/>
                <w:lang w:val="en-US" w:eastAsia="zh-CN"/>
              </w:rPr>
              <w:br w:type="textWrapping"/>
            </w:r>
            <w:r>
              <w:rPr>
                <w:rFonts w:hint="default" w:ascii="仿宋_GB2312" w:hAnsi="仿宋_GB2312" w:eastAsia="仿宋_GB2312" w:cs="仿宋_GB2312"/>
                <w:b w:val="0"/>
                <w:bCs w:val="0"/>
                <w:i w:val="0"/>
                <w:iCs w:val="0"/>
                <w:caps w:val="0"/>
                <w:spacing w:val="0"/>
                <w:sz w:val="24"/>
                <w:szCs w:val="24"/>
                <w:shd w:val="clear" w:fill="FAFAFA"/>
                <w:lang w:val="en-US" w:eastAsia="zh-CN"/>
              </w:rPr>
              <w:t>《金融机构环境信息披露指南》</w:t>
            </w:r>
            <w:r>
              <w:rPr>
                <w:rFonts w:hint="default" w:ascii="仿宋_GB2312" w:hAnsi="仿宋_GB2312" w:eastAsia="仿宋_GB2312" w:cs="仿宋_GB2312"/>
                <w:b w:val="0"/>
                <w:bCs w:val="0"/>
                <w:i w:val="0"/>
                <w:iCs w:val="0"/>
                <w:caps w:val="0"/>
                <w:spacing w:val="0"/>
                <w:sz w:val="24"/>
                <w:szCs w:val="24"/>
                <w:shd w:val="clear" w:fill="FAFAFA"/>
                <w:lang w:val="en-US" w:eastAsia="zh-CN"/>
              </w:rPr>
              <w:br w:type="textWrapping"/>
            </w:r>
          </w:p>
        </w:tc>
        <w:tc>
          <w:tcPr>
            <w:tcW w:w="3619" w:type="dxa"/>
            <w:shd w:val="clear" w:color="auto" w:fill="auto"/>
            <w:vAlign w:val="center"/>
          </w:tcPr>
          <w:p w14:paraId="063CD243">
            <w:pPr>
              <w:pStyle w:val="22"/>
              <w:bidi w:val="0"/>
              <w:ind w:firstLine="0" w:firstLineChars="0"/>
              <w:jc w:val="left"/>
              <w:rPr>
                <w:rFonts w:hint="eastAsia" w:ascii="仿宋_GB2312" w:hAnsi="仿宋_GB2312" w:eastAsia="仿宋_GB2312" w:cs="仿宋_GB2312"/>
                <w:b w:val="0"/>
                <w:bCs w:val="0"/>
                <w:i w:val="0"/>
                <w:iCs w:val="0"/>
                <w:caps w:val="0"/>
                <w:spacing w:val="0"/>
                <w:sz w:val="24"/>
                <w:szCs w:val="24"/>
                <w:shd w:val="clear" w:fill="FAFAFA"/>
                <w:lang w:val="en-US" w:eastAsia="zh-CN"/>
              </w:rPr>
            </w:pPr>
            <w:r>
              <w:rPr>
                <w:rFonts w:hint="eastAsia" w:ascii="仿宋_GB2312" w:hAnsi="仿宋_GB2312" w:eastAsia="仿宋_GB2312" w:cs="仿宋_GB2312"/>
                <w:b w:val="0"/>
                <w:bCs w:val="0"/>
                <w:i w:val="0"/>
                <w:iCs w:val="0"/>
                <w:caps w:val="0"/>
                <w:spacing w:val="0"/>
                <w:sz w:val="24"/>
                <w:szCs w:val="24"/>
                <w:shd w:val="clear" w:fill="FAFAFA"/>
                <w:lang w:val="en-US" w:eastAsia="zh-CN"/>
              </w:rPr>
              <w:t>持续完善绿色信贷管理制度，牢固树立节约、环保、可持续的绿色信贷理念，依据国家及地方绿色产业政策动态调整信贷投向。加大对绿色低碳产业、节能环保、新能源、新材料、高端装备制造等战略性新兴领域的信贷资源配置，积极创新绿色金融产品与服务模式，强化环境信息披露能力建设。</w:t>
            </w:r>
          </w:p>
        </w:tc>
      </w:tr>
      <w:tr w14:paraId="12BAE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8" w:hRule="atLeast"/>
        </w:trPr>
        <w:tc>
          <w:tcPr>
            <w:tcW w:w="2293" w:type="dxa"/>
            <w:shd w:val="clear" w:color="auto" w:fill="auto"/>
            <w:vAlign w:val="center"/>
          </w:tcPr>
          <w:p w14:paraId="1AF4E46B">
            <w:pPr>
              <w:pStyle w:val="22"/>
              <w:bidi w:val="0"/>
              <w:ind w:firstLine="0" w:firstLineChars="0"/>
              <w:jc w:val="center"/>
              <w:rPr>
                <w:rFonts w:hint="eastAsia" w:ascii="仿宋_GB2312" w:hAnsi="仿宋_GB2312" w:eastAsia="仿宋_GB2312" w:cs="仿宋_GB2312"/>
                <w:b w:val="0"/>
                <w:bCs w:val="0"/>
                <w:i w:val="0"/>
                <w:iCs w:val="0"/>
                <w:caps w:val="0"/>
                <w:spacing w:val="0"/>
                <w:sz w:val="24"/>
                <w:szCs w:val="24"/>
                <w:shd w:val="clear" w:fill="FAFAFA"/>
                <w:lang w:val="en-US" w:eastAsia="zh-CN"/>
              </w:rPr>
            </w:pPr>
            <w:r>
              <w:rPr>
                <w:rFonts w:hint="eastAsia" w:ascii="仿宋_GB2312" w:hAnsi="仿宋_GB2312" w:eastAsia="仿宋_GB2312" w:cs="仿宋_GB2312"/>
                <w:b w:val="0"/>
                <w:bCs w:val="0"/>
                <w:i w:val="0"/>
                <w:iCs w:val="0"/>
                <w:caps w:val="0"/>
                <w:spacing w:val="0"/>
                <w:sz w:val="24"/>
                <w:szCs w:val="24"/>
                <w:shd w:val="clear" w:fill="FAFAFA"/>
                <w:lang w:val="en-US" w:eastAsia="zh-CN"/>
              </w:rPr>
              <w:t>国家金融监督管理总局</w:t>
            </w:r>
          </w:p>
        </w:tc>
        <w:tc>
          <w:tcPr>
            <w:tcW w:w="2507" w:type="dxa"/>
            <w:shd w:val="clear" w:color="auto" w:fill="auto"/>
            <w:vAlign w:val="center"/>
          </w:tcPr>
          <w:p w14:paraId="7BCB65C7">
            <w:pPr>
              <w:pStyle w:val="22"/>
              <w:bidi w:val="0"/>
              <w:ind w:firstLine="0" w:firstLineChars="0"/>
              <w:jc w:val="center"/>
              <w:rPr>
                <w:rFonts w:hint="eastAsia" w:ascii="仿宋_GB2312" w:hAnsi="仿宋_GB2312" w:eastAsia="仿宋_GB2312" w:cs="仿宋_GB2312"/>
                <w:b w:val="0"/>
                <w:bCs w:val="0"/>
                <w:i w:val="0"/>
                <w:iCs w:val="0"/>
                <w:caps w:val="0"/>
                <w:spacing w:val="0"/>
                <w:sz w:val="24"/>
                <w:szCs w:val="24"/>
                <w:shd w:val="clear" w:fill="FAFAFA"/>
                <w:lang w:val="en-US" w:eastAsia="zh-CN"/>
              </w:rPr>
            </w:pPr>
            <w:r>
              <w:rPr>
                <w:rFonts w:hint="eastAsia" w:ascii="仿宋_GB2312" w:hAnsi="仿宋_GB2312" w:eastAsia="仿宋_GB2312" w:cs="仿宋_GB2312"/>
                <w:b w:val="0"/>
                <w:bCs w:val="0"/>
                <w:i w:val="0"/>
                <w:iCs w:val="0"/>
                <w:caps w:val="0"/>
                <w:spacing w:val="0"/>
                <w:sz w:val="24"/>
                <w:szCs w:val="24"/>
                <w:shd w:val="clear" w:fill="FAFAFA"/>
                <w:lang w:val="en-US" w:eastAsia="zh-CN"/>
              </w:rPr>
              <w:t>《银行业保险业绿色金融指引》</w:t>
            </w:r>
          </w:p>
        </w:tc>
        <w:tc>
          <w:tcPr>
            <w:tcW w:w="3619" w:type="dxa"/>
            <w:shd w:val="clear" w:color="auto" w:fill="auto"/>
            <w:vAlign w:val="center"/>
          </w:tcPr>
          <w:p w14:paraId="36F77A54">
            <w:pPr>
              <w:pStyle w:val="22"/>
              <w:bidi w:val="0"/>
              <w:ind w:firstLine="0" w:firstLineChars="0"/>
              <w:jc w:val="left"/>
              <w:rPr>
                <w:rFonts w:hint="default" w:ascii="仿宋_GB2312" w:hAnsi="仿宋_GB2312" w:eastAsia="仿宋_GB2312" w:cs="仿宋_GB2312"/>
                <w:b w:val="0"/>
                <w:bCs w:val="0"/>
                <w:i w:val="0"/>
                <w:iCs w:val="0"/>
                <w:caps w:val="0"/>
                <w:spacing w:val="0"/>
                <w:sz w:val="24"/>
                <w:szCs w:val="24"/>
                <w:shd w:val="clear" w:fill="FAFAFA"/>
                <w:lang w:val="en-US" w:eastAsia="zh-CN"/>
              </w:rPr>
            </w:pPr>
            <w:r>
              <w:rPr>
                <w:rFonts w:hint="eastAsia" w:ascii="仿宋_GB2312" w:hAnsi="仿宋_GB2312" w:eastAsia="仿宋_GB2312" w:cs="仿宋_GB2312"/>
                <w:b w:val="0"/>
                <w:bCs w:val="0"/>
                <w:i w:val="0"/>
                <w:iCs w:val="0"/>
                <w:caps w:val="0"/>
                <w:spacing w:val="0"/>
                <w:sz w:val="24"/>
                <w:szCs w:val="24"/>
                <w:shd w:val="clear" w:fill="FAFAFA"/>
                <w:lang w:val="en-US" w:eastAsia="zh-CN"/>
              </w:rPr>
              <w:t>全面践行节约、低碳、环保、可持续发展等绿色经营理念，建立健全绿色金融创新工作机制，明确绿色金融的支持方向与重点领域。持续优化本行制度体系、业务流程及风险管理架构，实施差异化、动态化的授信或投资政策，对客户环境、社会和治理风险实行分类管理与动态评估，对存在重大风险的客户实行名单制管理。同时，深入开展绿色金融理念宣传与培训，规范自身经营行为，渐进有序降低碳足迹，稳步推进运营层面碳中和目标。</w:t>
            </w:r>
          </w:p>
        </w:tc>
      </w:tr>
      <w:tr w14:paraId="1CCE3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8" w:hRule="atLeast"/>
        </w:trPr>
        <w:tc>
          <w:tcPr>
            <w:tcW w:w="2293" w:type="dxa"/>
            <w:shd w:val="clear" w:color="auto" w:fill="auto"/>
            <w:vAlign w:val="center"/>
          </w:tcPr>
          <w:p w14:paraId="59EB0A7F">
            <w:pPr>
              <w:pStyle w:val="22"/>
              <w:bidi w:val="0"/>
              <w:ind w:firstLine="0" w:firstLineChars="0"/>
              <w:jc w:val="center"/>
              <w:rPr>
                <w:rFonts w:hint="eastAsia" w:ascii="仿宋_GB2312" w:hAnsi="仿宋_GB2312" w:eastAsia="仿宋_GB2312" w:cs="仿宋_GB2312"/>
                <w:b w:val="0"/>
                <w:bCs w:val="0"/>
                <w:i w:val="0"/>
                <w:iCs w:val="0"/>
                <w:caps w:val="0"/>
                <w:spacing w:val="0"/>
                <w:sz w:val="24"/>
                <w:szCs w:val="24"/>
                <w:shd w:val="clear" w:fill="FAFAFA"/>
              </w:rPr>
            </w:pPr>
            <w:r>
              <w:rPr>
                <w:rFonts w:hint="eastAsia" w:ascii="仿宋_GB2312" w:hAnsi="仿宋_GB2312" w:eastAsia="仿宋_GB2312" w:cs="仿宋_GB2312"/>
                <w:b w:val="0"/>
                <w:bCs w:val="0"/>
                <w:i w:val="0"/>
                <w:iCs w:val="0"/>
                <w:caps w:val="0"/>
                <w:spacing w:val="0"/>
                <w:sz w:val="24"/>
                <w:szCs w:val="24"/>
                <w:shd w:val="clear" w:fill="FAFAFA"/>
                <w:lang w:val="en-US" w:eastAsia="zh-CN"/>
              </w:rPr>
              <w:t>中国人民银行、国家发改委、工业和信息化部、财政部、生态环境部、国家金融监督管理总局、中国证监会</w:t>
            </w:r>
          </w:p>
        </w:tc>
        <w:tc>
          <w:tcPr>
            <w:tcW w:w="2507" w:type="dxa"/>
            <w:shd w:val="clear" w:color="auto" w:fill="auto"/>
            <w:vAlign w:val="center"/>
          </w:tcPr>
          <w:p w14:paraId="1E3B5D9C">
            <w:pPr>
              <w:pStyle w:val="22"/>
              <w:bidi w:val="0"/>
              <w:ind w:firstLine="0" w:firstLineChars="0"/>
              <w:jc w:val="center"/>
              <w:rPr>
                <w:rFonts w:hint="eastAsia" w:ascii="仿宋_GB2312" w:hAnsi="仿宋_GB2312" w:eastAsia="仿宋_GB2312" w:cs="仿宋_GB2312"/>
                <w:b w:val="0"/>
                <w:bCs w:val="0"/>
                <w:i w:val="0"/>
                <w:iCs w:val="0"/>
                <w:caps w:val="0"/>
                <w:spacing w:val="0"/>
                <w:sz w:val="24"/>
                <w:szCs w:val="24"/>
                <w:shd w:val="clear" w:fill="FAFAFA"/>
              </w:rPr>
            </w:pPr>
            <w:r>
              <w:rPr>
                <w:rFonts w:hint="eastAsia" w:ascii="仿宋_GB2312" w:hAnsi="仿宋_GB2312" w:eastAsia="仿宋_GB2312" w:cs="仿宋_GB2312"/>
                <w:b w:val="0"/>
                <w:bCs w:val="0"/>
                <w:i w:val="0"/>
                <w:iCs w:val="0"/>
                <w:caps w:val="0"/>
                <w:spacing w:val="0"/>
                <w:sz w:val="24"/>
                <w:szCs w:val="24"/>
                <w:shd w:val="clear" w:fill="FAFAFA"/>
                <w:lang w:val="en-US" w:eastAsia="zh-CN"/>
              </w:rPr>
              <w:t>《关于进一步强化金融支持绿色低碳发展的指导意见》</w:t>
            </w:r>
          </w:p>
        </w:tc>
        <w:tc>
          <w:tcPr>
            <w:tcW w:w="3619" w:type="dxa"/>
            <w:shd w:val="clear" w:color="auto" w:fill="auto"/>
            <w:vAlign w:val="center"/>
          </w:tcPr>
          <w:p w14:paraId="49B79DDD">
            <w:pPr>
              <w:pStyle w:val="22"/>
              <w:bidi w:val="0"/>
              <w:ind w:firstLine="0" w:firstLineChars="0"/>
              <w:jc w:val="left"/>
              <w:rPr>
                <w:rFonts w:hint="eastAsia" w:ascii="仿宋_GB2312" w:hAnsi="仿宋_GB2312" w:eastAsia="仿宋_GB2312" w:cs="仿宋_GB2312"/>
                <w:b w:val="0"/>
                <w:bCs w:val="0"/>
                <w:i w:val="0"/>
                <w:iCs w:val="0"/>
                <w:caps w:val="0"/>
                <w:spacing w:val="0"/>
                <w:sz w:val="24"/>
                <w:szCs w:val="24"/>
                <w:shd w:val="clear" w:fill="FAFAFA"/>
              </w:rPr>
            </w:pPr>
            <w:r>
              <w:rPr>
                <w:rFonts w:hint="eastAsia" w:ascii="仿宋_GB2312" w:hAnsi="仿宋_GB2312" w:eastAsia="仿宋_GB2312" w:cs="仿宋_GB2312"/>
                <w:b w:val="0"/>
                <w:bCs w:val="0"/>
                <w:i w:val="0"/>
                <w:iCs w:val="0"/>
                <w:caps w:val="0"/>
                <w:spacing w:val="0"/>
                <w:sz w:val="24"/>
                <w:szCs w:val="24"/>
                <w:shd w:val="clear" w:fill="FAFAFA"/>
                <w:lang w:val="en-US" w:eastAsia="zh-CN"/>
              </w:rPr>
              <w:t>积极响应多部门联合政策导向，加快创新绿色金融产品与服务体系，重点加大对能源、工业等高碳行业绿色转型及低碳升级的信贷支持力度。同步跟进最新绿色金融政策动态，及时识别并学习政策文件，确保本行绿色金融实践与国家顶层设计保持高度一致。</w:t>
            </w:r>
          </w:p>
        </w:tc>
      </w:tr>
      <w:tr w14:paraId="15E3B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atLeast"/>
        </w:trPr>
        <w:tc>
          <w:tcPr>
            <w:tcW w:w="2293" w:type="dxa"/>
            <w:shd w:val="clear" w:color="auto" w:fill="auto"/>
            <w:vAlign w:val="center"/>
          </w:tcPr>
          <w:p w14:paraId="4B64CF35">
            <w:pPr>
              <w:pStyle w:val="22"/>
              <w:bidi w:val="0"/>
              <w:ind w:firstLine="0" w:firstLineChars="0"/>
              <w:jc w:val="center"/>
              <w:rPr>
                <w:rFonts w:hint="eastAsia" w:ascii="仿宋_GB2312" w:hAnsi="仿宋_GB2312" w:eastAsia="仿宋_GB2312" w:cs="仿宋_GB2312"/>
                <w:b w:val="0"/>
                <w:bCs w:val="0"/>
                <w:i w:val="0"/>
                <w:iCs w:val="0"/>
                <w:caps w:val="0"/>
                <w:spacing w:val="0"/>
                <w:sz w:val="24"/>
                <w:szCs w:val="24"/>
                <w:shd w:val="clear" w:fill="FAFAFA"/>
              </w:rPr>
            </w:pPr>
            <w:r>
              <w:rPr>
                <w:rFonts w:hint="eastAsia" w:ascii="仿宋_GB2312" w:hAnsi="仿宋_GB2312" w:eastAsia="仿宋_GB2312" w:cs="仿宋_GB2312"/>
                <w:b w:val="0"/>
                <w:bCs w:val="0"/>
                <w:i w:val="0"/>
                <w:iCs w:val="0"/>
                <w:caps w:val="0"/>
                <w:spacing w:val="0"/>
                <w:sz w:val="24"/>
                <w:szCs w:val="24"/>
                <w:shd w:val="clear" w:fill="FAFAFA"/>
                <w:lang w:val="en-US" w:eastAsia="zh-CN"/>
              </w:rPr>
              <w:t>中国人民银行、生态环境部、国家金融监督管理总局、中国证监会</w:t>
            </w:r>
          </w:p>
        </w:tc>
        <w:tc>
          <w:tcPr>
            <w:tcW w:w="2507" w:type="dxa"/>
            <w:shd w:val="clear" w:color="auto" w:fill="auto"/>
            <w:vAlign w:val="center"/>
          </w:tcPr>
          <w:p w14:paraId="00DB9335">
            <w:pPr>
              <w:pStyle w:val="22"/>
              <w:bidi w:val="0"/>
              <w:ind w:firstLine="0" w:firstLineChars="0"/>
              <w:jc w:val="center"/>
              <w:rPr>
                <w:rFonts w:hint="eastAsia" w:ascii="仿宋_GB2312" w:hAnsi="仿宋_GB2312" w:eastAsia="仿宋_GB2312" w:cs="仿宋_GB2312"/>
                <w:b w:val="0"/>
                <w:bCs w:val="0"/>
                <w:i w:val="0"/>
                <w:iCs w:val="0"/>
                <w:caps w:val="0"/>
                <w:spacing w:val="0"/>
                <w:sz w:val="24"/>
                <w:szCs w:val="24"/>
                <w:shd w:val="clear" w:fill="FAFAFA"/>
              </w:rPr>
            </w:pPr>
            <w:r>
              <w:rPr>
                <w:rFonts w:hint="eastAsia" w:ascii="仿宋_GB2312" w:hAnsi="仿宋_GB2312" w:eastAsia="仿宋_GB2312" w:cs="仿宋_GB2312"/>
                <w:b w:val="0"/>
                <w:bCs w:val="0"/>
                <w:i w:val="0"/>
                <w:iCs w:val="0"/>
                <w:caps w:val="0"/>
                <w:spacing w:val="0"/>
                <w:sz w:val="24"/>
                <w:szCs w:val="24"/>
                <w:shd w:val="clear" w:fill="FAFAFA"/>
                <w:lang w:val="en-US" w:eastAsia="zh-CN"/>
              </w:rPr>
              <w:t>《关于发挥绿色金融作用 服务美丽中国建设的意见》</w:t>
            </w:r>
          </w:p>
        </w:tc>
        <w:tc>
          <w:tcPr>
            <w:tcW w:w="3619" w:type="dxa"/>
            <w:shd w:val="clear" w:color="auto" w:fill="auto"/>
            <w:vAlign w:val="center"/>
          </w:tcPr>
          <w:p w14:paraId="559441F5">
            <w:pPr>
              <w:pStyle w:val="22"/>
              <w:bidi w:val="0"/>
              <w:ind w:firstLine="0" w:firstLineChars="0"/>
              <w:jc w:val="left"/>
              <w:rPr>
                <w:rFonts w:hint="eastAsia" w:ascii="仿宋_GB2312" w:hAnsi="仿宋_GB2312" w:eastAsia="仿宋_GB2312" w:cs="仿宋_GB2312"/>
                <w:b w:val="0"/>
                <w:bCs w:val="0"/>
                <w:i w:val="0"/>
                <w:iCs w:val="0"/>
                <w:caps w:val="0"/>
                <w:spacing w:val="0"/>
                <w:sz w:val="24"/>
                <w:szCs w:val="24"/>
                <w:shd w:val="clear" w:fill="FAFAFA"/>
              </w:rPr>
            </w:pPr>
            <w:r>
              <w:rPr>
                <w:rFonts w:hint="eastAsia" w:ascii="仿宋_GB2312" w:hAnsi="仿宋_GB2312" w:eastAsia="仿宋_GB2312" w:cs="仿宋_GB2312"/>
                <w:b w:val="0"/>
                <w:bCs w:val="0"/>
                <w:i w:val="0"/>
                <w:iCs w:val="0"/>
                <w:caps w:val="0"/>
                <w:spacing w:val="0"/>
                <w:sz w:val="24"/>
                <w:szCs w:val="24"/>
                <w:shd w:val="clear" w:fill="FAFAFA"/>
                <w:lang w:val="en-US" w:eastAsia="zh-CN"/>
              </w:rPr>
              <w:t>主动对接重点行业绿色低碳转型、污染防治攻坚、生态保护修复等重大项目建设需求，持续丰富绿色金融产品体系，加大信贷资金精准投放力度，全面提升金融支持美丽中国建设的综合服务效能。</w:t>
            </w:r>
          </w:p>
        </w:tc>
      </w:tr>
      <w:tr w14:paraId="11543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2293" w:type="dxa"/>
            <w:shd w:val="clear" w:color="auto" w:fill="auto"/>
            <w:noWrap/>
            <w:vAlign w:val="center"/>
          </w:tcPr>
          <w:p w14:paraId="3C3D14B9">
            <w:pPr>
              <w:pStyle w:val="22"/>
              <w:bidi w:val="0"/>
              <w:ind w:firstLine="0" w:firstLineChars="0"/>
              <w:jc w:val="center"/>
              <w:rPr>
                <w:rFonts w:hint="eastAsia" w:ascii="仿宋_GB2312" w:hAnsi="仿宋_GB2312" w:eastAsia="仿宋_GB2312" w:cs="仿宋_GB2312"/>
                <w:b w:val="0"/>
                <w:bCs w:val="0"/>
                <w:i w:val="0"/>
                <w:iCs w:val="0"/>
                <w:caps w:val="0"/>
                <w:spacing w:val="0"/>
                <w:sz w:val="24"/>
                <w:szCs w:val="24"/>
                <w:shd w:val="clear" w:fill="FAFAFA"/>
              </w:rPr>
            </w:pPr>
            <w:r>
              <w:rPr>
                <w:rFonts w:hint="eastAsia" w:ascii="仿宋_GB2312" w:hAnsi="仿宋_GB2312" w:eastAsia="仿宋_GB2312" w:cs="仿宋_GB2312"/>
                <w:b w:val="0"/>
                <w:bCs w:val="0"/>
                <w:i w:val="0"/>
                <w:iCs w:val="0"/>
                <w:caps w:val="0"/>
                <w:spacing w:val="0"/>
                <w:sz w:val="24"/>
                <w:szCs w:val="24"/>
                <w:shd w:val="clear" w:fill="FAFAFA"/>
                <w:lang w:val="en-US" w:eastAsia="zh-CN"/>
              </w:rPr>
              <w:t>江苏省人民政府</w:t>
            </w:r>
          </w:p>
        </w:tc>
        <w:tc>
          <w:tcPr>
            <w:tcW w:w="2507" w:type="dxa"/>
            <w:shd w:val="clear" w:color="auto" w:fill="auto"/>
            <w:vAlign w:val="center"/>
          </w:tcPr>
          <w:p w14:paraId="7DDA6C2D">
            <w:pPr>
              <w:pStyle w:val="22"/>
              <w:bidi w:val="0"/>
              <w:ind w:firstLine="0" w:firstLineChars="0"/>
              <w:jc w:val="center"/>
              <w:rPr>
                <w:rFonts w:hint="eastAsia" w:ascii="仿宋_GB2312" w:hAnsi="仿宋_GB2312" w:eastAsia="仿宋_GB2312" w:cs="仿宋_GB2312"/>
                <w:b w:val="0"/>
                <w:bCs w:val="0"/>
                <w:i w:val="0"/>
                <w:iCs w:val="0"/>
                <w:caps w:val="0"/>
                <w:spacing w:val="0"/>
                <w:sz w:val="24"/>
                <w:szCs w:val="24"/>
                <w:shd w:val="clear" w:fill="FAFAFA"/>
              </w:rPr>
            </w:pPr>
            <w:r>
              <w:rPr>
                <w:rFonts w:hint="eastAsia" w:ascii="仿宋_GB2312" w:hAnsi="仿宋_GB2312" w:eastAsia="仿宋_GB2312" w:cs="仿宋_GB2312"/>
                <w:b w:val="0"/>
                <w:bCs w:val="0"/>
                <w:i w:val="0"/>
                <w:iCs w:val="0"/>
                <w:caps w:val="0"/>
                <w:spacing w:val="0"/>
                <w:sz w:val="24"/>
                <w:szCs w:val="24"/>
                <w:shd w:val="clear" w:fill="FAFAFA"/>
                <w:lang w:val="en-US" w:eastAsia="zh-CN"/>
              </w:rPr>
              <w:t>《江苏省“十四五”生态环境保护规划》、《关于大力发展绿色金融的指导意见》、《江苏省生态环境保护条例》</w:t>
            </w:r>
          </w:p>
        </w:tc>
        <w:tc>
          <w:tcPr>
            <w:tcW w:w="3619" w:type="dxa"/>
            <w:shd w:val="clear" w:color="auto" w:fill="auto"/>
            <w:vAlign w:val="center"/>
          </w:tcPr>
          <w:p w14:paraId="32B14482">
            <w:pPr>
              <w:pStyle w:val="22"/>
              <w:bidi w:val="0"/>
              <w:ind w:firstLine="0" w:firstLineChars="0"/>
              <w:jc w:val="left"/>
              <w:rPr>
                <w:rFonts w:hint="eastAsia" w:ascii="仿宋_GB2312" w:hAnsi="仿宋_GB2312" w:eastAsia="仿宋_GB2312" w:cs="仿宋_GB2312"/>
                <w:b w:val="0"/>
                <w:bCs w:val="0"/>
                <w:i w:val="0"/>
                <w:iCs w:val="0"/>
                <w:caps w:val="0"/>
                <w:spacing w:val="0"/>
                <w:sz w:val="24"/>
                <w:szCs w:val="24"/>
                <w:shd w:val="clear" w:fill="FAFAFA"/>
              </w:rPr>
            </w:pPr>
            <w:r>
              <w:rPr>
                <w:rFonts w:hint="eastAsia" w:ascii="仿宋_GB2312" w:hAnsi="仿宋_GB2312" w:eastAsia="仿宋_GB2312" w:cs="仿宋_GB2312"/>
                <w:b w:val="0"/>
                <w:bCs w:val="0"/>
                <w:i w:val="0"/>
                <w:iCs w:val="0"/>
                <w:caps w:val="0"/>
                <w:spacing w:val="0"/>
                <w:sz w:val="24"/>
                <w:szCs w:val="24"/>
                <w:shd w:val="clear" w:fill="FAFAFA"/>
                <w:lang w:val="en-US" w:eastAsia="zh-CN"/>
              </w:rPr>
              <w:t>对标省级绿色发展与生态环境保护政策要求，持续深化绿色金融产品与服务创新，聚焦重点领域及相关产业绿色低碳转型，加大金融资源倾斜力度，助力江苏率先实现绿色低碳高质量发展目标。</w:t>
            </w:r>
          </w:p>
        </w:tc>
      </w:tr>
      <w:tr w14:paraId="4CB70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2293" w:type="dxa"/>
            <w:shd w:val="clear" w:color="auto" w:fill="auto"/>
            <w:noWrap/>
            <w:vAlign w:val="center"/>
          </w:tcPr>
          <w:p w14:paraId="0C7DB7E2">
            <w:pPr>
              <w:pStyle w:val="22"/>
              <w:bidi w:val="0"/>
              <w:ind w:firstLine="0" w:firstLineChars="0"/>
              <w:jc w:val="center"/>
              <w:rPr>
                <w:rFonts w:hint="eastAsia" w:ascii="仿宋_GB2312" w:hAnsi="仿宋_GB2312" w:eastAsia="仿宋_GB2312" w:cs="仿宋_GB2312"/>
                <w:b w:val="0"/>
                <w:bCs w:val="0"/>
                <w:i w:val="0"/>
                <w:iCs w:val="0"/>
                <w:caps w:val="0"/>
                <w:spacing w:val="0"/>
                <w:sz w:val="24"/>
                <w:szCs w:val="24"/>
                <w:shd w:val="clear" w:fill="FAFAFA"/>
              </w:rPr>
            </w:pPr>
            <w:r>
              <w:rPr>
                <w:rFonts w:hint="eastAsia" w:ascii="仿宋_GB2312" w:hAnsi="仿宋_GB2312" w:eastAsia="仿宋_GB2312" w:cs="仿宋_GB2312"/>
                <w:b w:val="0"/>
                <w:bCs w:val="0"/>
                <w:i w:val="0"/>
                <w:iCs w:val="0"/>
                <w:caps w:val="0"/>
                <w:spacing w:val="0"/>
                <w:sz w:val="24"/>
                <w:szCs w:val="24"/>
                <w:shd w:val="clear" w:fill="FAFAFA"/>
                <w:lang w:val="en-US" w:eastAsia="zh-CN"/>
              </w:rPr>
              <w:t>盐城市人民政府</w:t>
            </w:r>
          </w:p>
        </w:tc>
        <w:tc>
          <w:tcPr>
            <w:tcW w:w="2507" w:type="dxa"/>
            <w:shd w:val="clear" w:color="auto" w:fill="auto"/>
            <w:vAlign w:val="center"/>
          </w:tcPr>
          <w:p w14:paraId="46796794">
            <w:pPr>
              <w:pStyle w:val="22"/>
              <w:bidi w:val="0"/>
              <w:ind w:firstLine="0" w:firstLineChars="0"/>
              <w:jc w:val="center"/>
              <w:rPr>
                <w:rFonts w:hint="eastAsia" w:ascii="仿宋_GB2312" w:hAnsi="仿宋_GB2312" w:eastAsia="仿宋_GB2312" w:cs="仿宋_GB2312"/>
                <w:b w:val="0"/>
                <w:bCs w:val="0"/>
                <w:i w:val="0"/>
                <w:iCs w:val="0"/>
                <w:caps w:val="0"/>
                <w:spacing w:val="0"/>
                <w:sz w:val="24"/>
                <w:szCs w:val="24"/>
                <w:shd w:val="clear" w:fill="FAFAFA"/>
              </w:rPr>
            </w:pPr>
            <w:r>
              <w:rPr>
                <w:rFonts w:hint="eastAsia" w:ascii="仿宋_GB2312" w:hAnsi="仿宋_GB2312" w:eastAsia="仿宋_GB2312" w:cs="仿宋_GB2312"/>
                <w:b w:val="0"/>
                <w:bCs w:val="0"/>
                <w:i w:val="0"/>
                <w:iCs w:val="0"/>
                <w:caps w:val="0"/>
                <w:spacing w:val="0"/>
                <w:sz w:val="24"/>
                <w:szCs w:val="24"/>
                <w:shd w:val="clear" w:fill="FAFAFA"/>
                <w:lang w:val="en-US" w:eastAsia="zh-CN"/>
              </w:rPr>
              <w:t>《国家碳达峰试点（盐城）实施方案》、《关于全面推进美丽盐城建设的行动方案》</w:t>
            </w:r>
          </w:p>
        </w:tc>
        <w:tc>
          <w:tcPr>
            <w:tcW w:w="3619" w:type="dxa"/>
            <w:shd w:val="clear" w:color="auto" w:fill="auto"/>
            <w:vAlign w:val="center"/>
          </w:tcPr>
          <w:p w14:paraId="4648D3CC">
            <w:pPr>
              <w:pStyle w:val="22"/>
              <w:bidi w:val="0"/>
              <w:ind w:firstLine="0" w:firstLineChars="0"/>
              <w:jc w:val="left"/>
              <w:rPr>
                <w:rFonts w:hint="eastAsia" w:ascii="仿宋_GB2312" w:hAnsi="仿宋_GB2312" w:eastAsia="仿宋_GB2312" w:cs="仿宋_GB2312"/>
                <w:b w:val="0"/>
                <w:bCs w:val="0"/>
                <w:i w:val="0"/>
                <w:iCs w:val="0"/>
                <w:caps w:val="0"/>
                <w:spacing w:val="0"/>
                <w:sz w:val="24"/>
                <w:szCs w:val="24"/>
                <w:shd w:val="clear" w:fill="FAFAFA"/>
              </w:rPr>
            </w:pPr>
            <w:r>
              <w:rPr>
                <w:rFonts w:hint="eastAsia" w:ascii="仿宋_GB2312" w:hAnsi="仿宋_GB2312" w:eastAsia="仿宋_GB2312" w:cs="仿宋_GB2312"/>
                <w:b w:val="0"/>
                <w:bCs w:val="0"/>
                <w:i w:val="0"/>
                <w:iCs w:val="0"/>
                <w:caps w:val="0"/>
                <w:spacing w:val="0"/>
                <w:sz w:val="24"/>
                <w:szCs w:val="24"/>
                <w:shd w:val="clear" w:fill="FAFAFA"/>
                <w:lang w:val="en-US" w:eastAsia="zh-CN"/>
              </w:rPr>
              <w:t>积极融入地方绿色低碳循环发展大局，全力服务盐城市碳达峰、碳中和目标实现。深度参与“绿色转型、环境质量、生态保护、美丽品牌、治理能力、生态素养”六大提升行动，引导社会公众共同参与美丽盐城建设，推动绿色金融与地方生态治理深度融合。同时，持续跟踪并动态更新国家及地方最新绿色金融政策文件，确保本行绿色金融实践与政策导向始终保持同步。</w:t>
            </w:r>
          </w:p>
        </w:tc>
      </w:tr>
    </w:tbl>
    <w:p w14:paraId="38C61019">
      <w:pPr>
        <w:pStyle w:val="23"/>
        <w:keepNext w:val="0"/>
        <w:keepLines w:val="0"/>
        <w:pageBreakBefore w:val="0"/>
        <w:widowControl w:val="0"/>
        <w:numPr>
          <w:ilvl w:val="0"/>
          <w:numId w:val="0"/>
        </w:numPr>
        <w:tabs>
          <w:tab w:val="clear" w:pos="420"/>
        </w:tabs>
        <w:kinsoku/>
        <w:wordWrap/>
        <w:overflowPunct/>
        <w:topLinePunct w:val="0"/>
        <w:autoSpaceDE/>
        <w:autoSpaceDN/>
        <w:bidi w:val="0"/>
        <w:adjustRightInd/>
        <w:snapToGrid/>
        <w:spacing w:before="157" w:beforeLines="50" w:after="157" w:afterLines="50"/>
        <w:ind w:firstLine="640" w:firstLineChars="200"/>
        <w:jc w:val="left"/>
        <w:textAlignment w:val="auto"/>
        <w:rPr>
          <w:rFonts w:hint="default" w:ascii="黑体" w:hAnsi="黑体" w:eastAsia="黑体" w:cs="黑体"/>
          <w:b w:val="0"/>
          <w:bCs w:val="0"/>
          <w:i w:val="0"/>
          <w:iCs w:val="0"/>
          <w:color w:val="000000" w:themeColor="text1"/>
          <w:kern w:val="2"/>
          <w:sz w:val="32"/>
          <w:szCs w:val="32"/>
          <w:lang w:val="en-US" w:eastAsia="zh-CN" w:bidi="ar-SA"/>
          <w14:textFill>
            <w14:solidFill>
              <w14:schemeClr w14:val="tx1"/>
            </w14:solidFill>
          </w14:textFill>
        </w:rPr>
      </w:pPr>
      <w:r>
        <w:rPr>
          <w:rFonts w:hint="eastAsia" w:ascii="黑体" w:hAnsi="黑体" w:eastAsia="黑体" w:cs="黑体"/>
          <w:b w:val="0"/>
          <w:bCs w:val="0"/>
          <w:i w:val="0"/>
          <w:iCs w:val="0"/>
          <w:color w:val="000000" w:themeColor="text1"/>
          <w:kern w:val="2"/>
          <w:sz w:val="32"/>
          <w:szCs w:val="32"/>
          <w:lang w:val="en-US" w:eastAsia="zh-CN" w:bidi="ar-SA"/>
          <w14:textFill>
            <w14:solidFill>
              <w14:schemeClr w14:val="tx1"/>
            </w14:solidFill>
          </w14:textFill>
        </w:rPr>
        <w:t>二、内部</w:t>
      </w:r>
      <w:r>
        <w:rPr>
          <w:rFonts w:hint="default" w:ascii="黑体" w:hAnsi="黑体" w:eastAsia="黑体" w:cs="黑体"/>
          <w:b w:val="0"/>
          <w:bCs w:val="0"/>
          <w:sz w:val="32"/>
          <w:szCs w:val="32"/>
          <w:lang w:val="en-US" w:eastAsia="zh-CN"/>
        </w:rPr>
        <w:t>环境相关</w:t>
      </w:r>
      <w:r>
        <w:rPr>
          <w:rFonts w:hint="eastAsia" w:ascii="黑体" w:hAnsi="黑体" w:eastAsia="黑体" w:cs="黑体"/>
          <w:b w:val="0"/>
          <w:bCs w:val="0"/>
          <w:i w:val="0"/>
          <w:iCs w:val="0"/>
          <w:color w:val="000000" w:themeColor="text1"/>
          <w:kern w:val="2"/>
          <w:sz w:val="32"/>
          <w:szCs w:val="32"/>
          <w:lang w:val="en-US" w:eastAsia="zh-CN" w:bidi="ar-SA"/>
          <w14:textFill>
            <w14:solidFill>
              <w14:schemeClr w14:val="tx1"/>
            </w14:solidFill>
          </w14:textFill>
        </w:rPr>
        <w:t>政策制度</w:t>
      </w:r>
    </w:p>
    <w:tbl>
      <w:tblPr>
        <w:tblStyle w:val="18"/>
        <w:tblW w:w="85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8"/>
        <w:gridCol w:w="2304"/>
        <w:gridCol w:w="1368"/>
        <w:gridCol w:w="3492"/>
      </w:tblGrid>
      <w:tr w14:paraId="24FD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388" w:type="dxa"/>
            <w:vAlign w:val="center"/>
          </w:tcPr>
          <w:p w14:paraId="3B8C8135">
            <w:pPr>
              <w:pStyle w:val="22"/>
              <w:bidi w:val="0"/>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制度类型</w:t>
            </w:r>
          </w:p>
        </w:tc>
        <w:tc>
          <w:tcPr>
            <w:tcW w:w="2304" w:type="dxa"/>
            <w:vAlign w:val="center"/>
          </w:tcPr>
          <w:p w14:paraId="765F6AA1">
            <w:pPr>
              <w:pStyle w:val="22"/>
              <w:bidi w:val="0"/>
              <w:jc w:val="center"/>
              <w:rPr>
                <w:rFonts w:hint="default" w:ascii="黑体" w:hAnsi="黑体" w:eastAsia="黑体" w:cs="黑体"/>
                <w:b w:val="0"/>
                <w:bCs w:val="0"/>
                <w:sz w:val="24"/>
                <w:szCs w:val="24"/>
                <w:lang w:val="en-US" w:eastAsia="zh-CN"/>
              </w:rPr>
            </w:pPr>
            <w:r>
              <w:rPr>
                <w:rFonts w:hint="default" w:ascii="黑体" w:hAnsi="黑体" w:eastAsia="黑体" w:cs="黑体"/>
                <w:b w:val="0"/>
                <w:bCs w:val="0"/>
                <w:sz w:val="24"/>
                <w:szCs w:val="24"/>
                <w:lang w:val="en-US" w:eastAsia="zh-CN"/>
              </w:rPr>
              <w:t>文件名称</w:t>
            </w:r>
          </w:p>
        </w:tc>
        <w:tc>
          <w:tcPr>
            <w:tcW w:w="1368" w:type="dxa"/>
            <w:vAlign w:val="center"/>
          </w:tcPr>
          <w:p w14:paraId="11661D06">
            <w:pPr>
              <w:pStyle w:val="22"/>
              <w:bidi w:val="0"/>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发布时间</w:t>
            </w:r>
          </w:p>
        </w:tc>
        <w:tc>
          <w:tcPr>
            <w:tcW w:w="3492" w:type="dxa"/>
            <w:vAlign w:val="center"/>
          </w:tcPr>
          <w:p w14:paraId="76748510">
            <w:pPr>
              <w:pStyle w:val="22"/>
              <w:bidi w:val="0"/>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主要内容</w:t>
            </w:r>
          </w:p>
        </w:tc>
      </w:tr>
      <w:tr w14:paraId="0822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8" w:type="dxa"/>
            <w:vMerge w:val="restart"/>
            <w:vAlign w:val="center"/>
          </w:tcPr>
          <w:p w14:paraId="08717757">
            <w:pPr>
              <w:pStyle w:val="22"/>
              <w:bidi w:val="0"/>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战略规划</w:t>
            </w:r>
          </w:p>
        </w:tc>
        <w:tc>
          <w:tcPr>
            <w:tcW w:w="2304" w:type="dxa"/>
            <w:vAlign w:val="center"/>
          </w:tcPr>
          <w:p w14:paraId="0B905888">
            <w:pPr>
              <w:pStyle w:val="22"/>
              <w:bidi w:val="0"/>
              <w:ind w:firstLine="0" w:firstLineChars="0"/>
              <w:jc w:val="left"/>
              <w:rPr>
                <w:rFonts w:hint="eastAsia" w:ascii="仿宋_GB2312" w:hAnsi="仿宋_GB2312" w:eastAsia="仿宋_GB2312" w:cs="仿宋_GB2312"/>
                <w:b w:val="0"/>
                <w:bCs w:val="0"/>
                <w:i w:val="0"/>
                <w:iCs w:val="0"/>
                <w:caps w:val="0"/>
                <w:spacing w:val="0"/>
                <w:sz w:val="24"/>
                <w:szCs w:val="24"/>
                <w:shd w:val="clear" w:fill="FAFAFA"/>
                <w:lang w:val="en-US" w:eastAsia="zh-CN"/>
              </w:rPr>
            </w:pPr>
            <w:r>
              <w:rPr>
                <w:rFonts w:hint="eastAsia" w:ascii="仿宋_GB2312" w:hAnsi="仿宋_GB2312" w:eastAsia="仿宋_GB2312" w:cs="仿宋_GB2312"/>
                <w:b w:val="0"/>
                <w:bCs w:val="0"/>
                <w:i w:val="0"/>
                <w:iCs w:val="0"/>
                <w:caps w:val="0"/>
                <w:spacing w:val="0"/>
                <w:sz w:val="24"/>
                <w:szCs w:val="24"/>
                <w:shd w:val="clear" w:fill="FAFAFA"/>
                <w:lang w:val="en-US" w:eastAsia="zh-CN"/>
              </w:rPr>
              <w:t>《江苏盐城农村商业银行股份有限公司十四五规划》</w:t>
            </w:r>
          </w:p>
        </w:tc>
        <w:tc>
          <w:tcPr>
            <w:tcW w:w="1368" w:type="dxa"/>
            <w:vAlign w:val="center"/>
          </w:tcPr>
          <w:p w14:paraId="034354B4">
            <w:pPr>
              <w:pStyle w:val="22"/>
              <w:bidi w:val="0"/>
              <w:ind w:firstLine="0" w:firstLineChars="0"/>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2023年</w:t>
            </w:r>
          </w:p>
        </w:tc>
        <w:tc>
          <w:tcPr>
            <w:tcW w:w="3492" w:type="dxa"/>
            <w:vAlign w:val="center"/>
          </w:tcPr>
          <w:p w14:paraId="139ABCC4">
            <w:pPr>
              <w:pStyle w:val="22"/>
              <w:bidi w:val="0"/>
              <w:ind w:firstLine="0" w:firstLineChars="0"/>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坚守支农支小市场定位，聚焦主责主业，全面服务乡村振兴战略，重点支持绿色农业及实体经济发展。为绿色信贷业务开通专项快速审批通道，优化授信流程，显著提升绿色融资需求的审批效率与响应速度。</w:t>
            </w:r>
          </w:p>
        </w:tc>
      </w:tr>
      <w:tr w14:paraId="36A67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8" w:type="dxa"/>
            <w:vMerge w:val="continue"/>
            <w:vAlign w:val="center"/>
          </w:tcPr>
          <w:p w14:paraId="5D91E058">
            <w:pPr>
              <w:pStyle w:val="22"/>
              <w:bidi w:val="0"/>
              <w:jc w:val="center"/>
              <w:rPr>
                <w:rFonts w:hint="eastAsia" w:ascii="仿宋_GB2312" w:hAnsi="仿宋_GB2312" w:eastAsia="仿宋_GB2312" w:cs="仿宋_GB2312"/>
                <w:b w:val="0"/>
                <w:bCs w:val="0"/>
                <w:sz w:val="24"/>
                <w:szCs w:val="24"/>
                <w:lang w:val="en-US" w:eastAsia="zh-CN"/>
              </w:rPr>
            </w:pPr>
          </w:p>
        </w:tc>
        <w:tc>
          <w:tcPr>
            <w:tcW w:w="2304" w:type="dxa"/>
            <w:vAlign w:val="center"/>
          </w:tcPr>
          <w:p w14:paraId="7B00C0EB">
            <w:pPr>
              <w:pStyle w:val="22"/>
              <w:bidi w:val="0"/>
              <w:ind w:firstLine="0" w:firstLineChars="0"/>
              <w:jc w:val="left"/>
              <w:rPr>
                <w:rFonts w:hint="eastAsia" w:ascii="仿宋_GB2312" w:hAnsi="仿宋_GB2312" w:eastAsia="仿宋_GB2312" w:cs="仿宋_GB2312"/>
                <w:b w:val="0"/>
                <w:bCs w:val="0"/>
                <w:i w:val="0"/>
                <w:iCs w:val="0"/>
                <w:caps w:val="0"/>
                <w:spacing w:val="0"/>
                <w:sz w:val="24"/>
                <w:szCs w:val="24"/>
                <w:shd w:val="clear" w:fill="FAFAFA"/>
                <w:lang w:val="en-US" w:eastAsia="zh-CN"/>
              </w:rPr>
            </w:pPr>
            <w:r>
              <w:rPr>
                <w:rFonts w:hint="eastAsia" w:ascii="仿宋_GB2312" w:hAnsi="仿宋_GB2312" w:eastAsia="仿宋_GB2312" w:cs="仿宋_GB2312"/>
                <w:b w:val="0"/>
                <w:bCs w:val="0"/>
                <w:i w:val="0"/>
                <w:iCs w:val="0"/>
                <w:caps w:val="0"/>
                <w:spacing w:val="0"/>
                <w:sz w:val="24"/>
                <w:szCs w:val="24"/>
                <w:shd w:val="clear" w:fill="FAFAFA"/>
                <w:lang w:val="en-US" w:eastAsia="zh-CN"/>
              </w:rPr>
              <w:t>《江苏盐城农村商业银行2024-2026年发展战略规划》</w:t>
            </w:r>
          </w:p>
        </w:tc>
        <w:tc>
          <w:tcPr>
            <w:tcW w:w="1368" w:type="dxa"/>
            <w:vAlign w:val="center"/>
          </w:tcPr>
          <w:p w14:paraId="55ADA345">
            <w:pPr>
              <w:pStyle w:val="22"/>
              <w:bidi w:val="0"/>
              <w:ind w:firstLine="0" w:firstLineChars="0"/>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2024年</w:t>
            </w:r>
          </w:p>
        </w:tc>
        <w:tc>
          <w:tcPr>
            <w:tcW w:w="3492" w:type="dxa"/>
            <w:vAlign w:val="center"/>
          </w:tcPr>
          <w:p w14:paraId="0704057F">
            <w:pPr>
              <w:pStyle w:val="22"/>
              <w:bidi w:val="0"/>
              <w:ind w:firstLine="0" w:firstLineChars="0"/>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坚持“一张蓝图绘到底”，坚定做小做散战略方向，把发展的着力点放在服务实体经济上，精准高效地服务“三农”和小微客户。将绿色低碳、数字金融、科技金融等发展目标融入金融重点领域服务中，深耕细作，为地方经济发展和乡村振兴赋能增效。</w:t>
            </w:r>
          </w:p>
        </w:tc>
      </w:tr>
      <w:tr w14:paraId="16BCE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8" w:type="dxa"/>
            <w:vAlign w:val="center"/>
          </w:tcPr>
          <w:p w14:paraId="28825645">
            <w:pPr>
              <w:pStyle w:val="22"/>
              <w:bidi w:val="0"/>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制度办法</w:t>
            </w:r>
          </w:p>
        </w:tc>
        <w:tc>
          <w:tcPr>
            <w:tcW w:w="2304" w:type="dxa"/>
            <w:vAlign w:val="center"/>
          </w:tcPr>
          <w:p w14:paraId="76EF2C90">
            <w:pPr>
              <w:pStyle w:val="22"/>
              <w:bidi w:val="0"/>
              <w:jc w:val="left"/>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i w:val="0"/>
                <w:iCs w:val="0"/>
                <w:caps w:val="0"/>
                <w:spacing w:val="0"/>
                <w:sz w:val="24"/>
                <w:szCs w:val="24"/>
                <w:shd w:val="clear" w:fill="FAFAFA"/>
                <w:lang w:val="en-US" w:eastAsia="zh-CN"/>
              </w:rPr>
              <w:t>《江苏盐城农村商业银行落实金融“五篇大文章”统计工作实施方案》</w:t>
            </w:r>
          </w:p>
        </w:tc>
        <w:tc>
          <w:tcPr>
            <w:tcW w:w="1368" w:type="dxa"/>
            <w:vAlign w:val="center"/>
          </w:tcPr>
          <w:p w14:paraId="66EF6DF9">
            <w:pPr>
              <w:pStyle w:val="22"/>
              <w:bidi w:val="0"/>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2025年</w:t>
            </w:r>
          </w:p>
        </w:tc>
        <w:tc>
          <w:tcPr>
            <w:tcW w:w="3492" w:type="dxa"/>
            <w:vAlign w:val="center"/>
          </w:tcPr>
          <w:p w14:paraId="088B8E2C">
            <w:pPr>
              <w:pStyle w:val="22"/>
              <w:bidi w:val="0"/>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着力提升科技金融、绿色金融、普惠金融、养老金融及数字金融等“五篇大文章”领域统计工作质效，持续强化金融服务实体经济的支撑能力与服务水平，切实保障各项统计数据的真实性、准确性与完整性，为全行精准施策和监管报送提供坚实的数据基础。</w:t>
            </w:r>
          </w:p>
        </w:tc>
      </w:tr>
      <w:tr w14:paraId="5B5D4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4" w:hRule="atLeast"/>
        </w:trPr>
        <w:tc>
          <w:tcPr>
            <w:tcW w:w="1388" w:type="dxa"/>
            <w:vAlign w:val="center"/>
          </w:tcPr>
          <w:p w14:paraId="244FA045">
            <w:pPr>
              <w:pStyle w:val="22"/>
              <w:bidi w:val="0"/>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业务发展</w:t>
            </w:r>
          </w:p>
        </w:tc>
        <w:tc>
          <w:tcPr>
            <w:tcW w:w="2304" w:type="dxa"/>
            <w:vAlign w:val="center"/>
          </w:tcPr>
          <w:p w14:paraId="5D737E25">
            <w:pPr>
              <w:pStyle w:val="22"/>
              <w:bidi w:val="0"/>
              <w:jc w:val="left"/>
              <w:rPr>
                <w:rFonts w:hint="eastAsia" w:ascii="仿宋_GB2312" w:hAnsi="仿宋_GB2312" w:eastAsia="仿宋_GB2312" w:cs="仿宋_GB2312"/>
                <w:b w:val="0"/>
                <w:bCs w:val="0"/>
                <w:i w:val="0"/>
                <w:iCs w:val="0"/>
                <w:caps w:val="0"/>
                <w:spacing w:val="0"/>
                <w:sz w:val="24"/>
                <w:szCs w:val="24"/>
                <w:shd w:val="clear" w:fill="FAFAFA"/>
                <w:lang w:val="en-US" w:eastAsia="zh-CN"/>
              </w:rPr>
            </w:pPr>
            <w:r>
              <w:rPr>
                <w:rFonts w:hint="eastAsia" w:ascii="仿宋_GB2312" w:hAnsi="仿宋_GB2312" w:eastAsia="仿宋_GB2312" w:cs="仿宋_GB2312"/>
                <w:b w:val="0"/>
                <w:bCs w:val="0"/>
                <w:i w:val="0"/>
                <w:iCs w:val="0"/>
                <w:caps w:val="0"/>
                <w:spacing w:val="0"/>
                <w:sz w:val="24"/>
                <w:szCs w:val="24"/>
                <w:shd w:val="clear" w:fill="FAFAFA"/>
                <w:lang w:val="en-US" w:eastAsia="zh-CN"/>
              </w:rPr>
              <w:t>《2025年信贷管理工作指导意见》</w:t>
            </w:r>
          </w:p>
        </w:tc>
        <w:tc>
          <w:tcPr>
            <w:tcW w:w="1368" w:type="dxa"/>
            <w:vAlign w:val="center"/>
          </w:tcPr>
          <w:p w14:paraId="107830C9">
            <w:pPr>
              <w:pStyle w:val="22"/>
              <w:bidi w:val="0"/>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2025年</w:t>
            </w:r>
          </w:p>
        </w:tc>
        <w:tc>
          <w:tcPr>
            <w:tcW w:w="3492" w:type="dxa"/>
            <w:vAlign w:val="center"/>
          </w:tcPr>
          <w:p w14:paraId="66A6EE60">
            <w:pPr>
              <w:pStyle w:val="22"/>
              <w:bidi w:val="0"/>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全力支持绿色产业发展。深入落实《绿色金融综合服务方案（2024—2026）》，持续加大对绿色农业、绿色制造等重点领域的信贷投放力度，同时积极支持钢铁、石化等传统行业实施绿色低碳转型升级。要求2025年度绿色信贷余额较上年实现20%以上的增长目标。</w:t>
            </w:r>
          </w:p>
        </w:tc>
      </w:tr>
    </w:tbl>
    <w:p w14:paraId="423B88CC">
      <w:pPr>
        <w:pStyle w:val="16"/>
        <w:ind w:left="0" w:leftChars="0" w:firstLine="0" w:firstLineChars="0"/>
        <w:rPr>
          <w:rFonts w:hint="eastAsia"/>
          <w:lang w:val="en-US" w:eastAsia="zh-CN"/>
        </w:rPr>
      </w:pPr>
      <w:bookmarkStart w:id="24" w:name="_Toc9254"/>
      <w:bookmarkStart w:id="25" w:name="_Toc20520"/>
    </w:p>
    <w:p w14:paraId="0BEE19C9">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20" w:lineRule="exact"/>
        <w:ind w:left="0" w:leftChars="0" w:firstLine="0" w:firstLineChars="0"/>
        <w:jc w:val="center"/>
        <w:textAlignment w:val="auto"/>
        <w:rPr>
          <w:rFonts w:hint="default"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 xml:space="preserve">第四部分 </w:t>
      </w:r>
      <w:r>
        <w:rPr>
          <w:rFonts w:hint="default" w:ascii="黑体" w:hAnsi="黑体" w:eastAsia="黑体" w:cs="黑体"/>
          <w:color w:val="000000" w:themeColor="text1"/>
          <w:highlight w:val="none"/>
          <w:lang w:val="en-US" w:eastAsia="zh-CN"/>
          <w14:textFill>
            <w14:solidFill>
              <w14:schemeClr w14:val="tx1"/>
            </w14:solidFill>
          </w14:textFill>
        </w:rPr>
        <w:t>环境相关</w:t>
      </w:r>
      <w:r>
        <w:rPr>
          <w:rFonts w:hint="eastAsia" w:ascii="黑体" w:hAnsi="黑体" w:eastAsia="黑体" w:cs="黑体"/>
          <w:color w:val="000000" w:themeColor="text1"/>
          <w:highlight w:val="none"/>
          <w:lang w:val="en-US" w:eastAsia="zh-CN"/>
          <w14:textFill>
            <w14:solidFill>
              <w14:schemeClr w14:val="tx1"/>
            </w14:solidFill>
          </w14:textFill>
        </w:rPr>
        <w:t>业务</w:t>
      </w:r>
      <w:r>
        <w:rPr>
          <w:rFonts w:hint="default" w:ascii="黑体" w:hAnsi="黑体" w:eastAsia="黑体" w:cs="黑体"/>
          <w:color w:val="000000" w:themeColor="text1"/>
          <w:highlight w:val="none"/>
          <w:lang w:val="en-US" w:eastAsia="zh-CN"/>
          <w14:textFill>
            <w14:solidFill>
              <w14:schemeClr w14:val="tx1"/>
            </w14:solidFill>
          </w14:textFill>
        </w:rPr>
        <w:t>与服务创新</w:t>
      </w:r>
      <w:bookmarkEnd w:id="24"/>
      <w:bookmarkEnd w:id="25"/>
    </w:p>
    <w:p w14:paraId="179441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default" w:ascii="仿宋_GB2312" w:hAnsi="仿宋_GB2312" w:eastAsia="仿宋_GB2312" w:cs="仿宋_GB2312"/>
          <w:color w:val="000000" w:themeColor="text1"/>
          <w:highlight w:val="none"/>
          <w:lang w:val="en-US" w:eastAsia="zh-CN"/>
          <w14:textFill>
            <w14:solidFill>
              <w14:schemeClr w14:val="tx1"/>
            </w14:solidFill>
          </w14:textFill>
        </w:rPr>
        <w:t>本行环境相关金融</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业务与服务</w:t>
      </w:r>
      <w:r>
        <w:rPr>
          <w:rFonts w:hint="default" w:ascii="仿宋_GB2312" w:hAnsi="仿宋_GB2312" w:eastAsia="仿宋_GB2312" w:cs="仿宋_GB2312"/>
          <w:color w:val="000000" w:themeColor="text1"/>
          <w:highlight w:val="none"/>
          <w:lang w:val="en-US" w:eastAsia="zh-CN"/>
          <w14:textFill>
            <w14:solidFill>
              <w14:schemeClr w14:val="tx1"/>
            </w14:solidFill>
          </w14:textFill>
        </w:rPr>
        <w:t>创新情况</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如下：</w:t>
      </w:r>
    </w:p>
    <w:p w14:paraId="17425D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1.绿色信贷。本行聚焦清洁能源、生态环保、节能降碳、清洁生产及绿色服务等重点领域，持续加大绿色信贷资金配置力度，信贷业务保持稳健增长。截至2025年末，本行绿色信贷余额达11.87亿元，较年初净增3.07亿元，增幅34.93%，高于各项贷款平均增速26.2个百分点。</w:t>
      </w:r>
    </w:p>
    <w:p w14:paraId="60481B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highlight w:val="yellow"/>
          <w:lang w:val="en-US" w:eastAsia="zh-CN"/>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2.绿色消费。 </w:t>
      </w:r>
      <w:r>
        <w:rPr>
          <w:rFonts w:hint="default" w:ascii="仿宋_GB2312" w:hAnsi="仿宋_GB2312" w:eastAsia="仿宋_GB2312" w:cs="仿宋_GB2312"/>
          <w:color w:val="000000" w:themeColor="text1"/>
          <w:highlight w:val="none"/>
          <w:lang w:val="en-US" w:eastAsia="zh-CN"/>
          <w14:textFill>
            <w14:solidFill>
              <w14:schemeClr w14:val="tx1"/>
            </w14:solidFill>
          </w14:textFill>
        </w:rPr>
        <w:t>本行围绕居民日常绿色生活场景，持续丰富绿色消费信贷产品，推出差异化信贷优惠政策，鼓励客户选择节能环保产品。联合建军路管委会在建军路文商旅街区开展2025年建军路消费券活动</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，引导公众形成低碳、可持续的消费习惯</w:t>
      </w:r>
      <w:r>
        <w:rPr>
          <w:rFonts w:hint="default" w:ascii="仿宋_GB2312" w:hAnsi="仿宋_GB2312" w:eastAsia="仿宋_GB2312" w:cs="仿宋_GB2312"/>
          <w:color w:val="000000" w:themeColor="text1"/>
          <w:highlight w:val="none"/>
          <w:lang w:val="en-US" w:eastAsia="zh-CN"/>
          <w14:textFill>
            <w14:solidFill>
              <w14:schemeClr w14:val="tx1"/>
            </w14:solidFill>
          </w14:textFill>
        </w:rPr>
        <w:t>。</w:t>
      </w:r>
    </w:p>
    <w:p w14:paraId="6EFF45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3.绿色债券。本行积极支持企业发行绿色公司债券、企业债券及债务融资工具，助力拓宽绿色产业直接融资渠道。截至2025年末，本行持有绿色金融债券余额0.3亿元。</w:t>
      </w:r>
    </w:p>
    <w:p w14:paraId="01073A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4.碳金融。本行主动融入地方碳金融试点，聚焦本地农业经营主体，探索将林木、农田等生态资源转化为融资资产，研究推出碳汇抵质押贷款产品，让农村的生态优势转化为发展实惠，逐步形成具有农商行特色的碳金融服务模式。</w:t>
      </w:r>
    </w:p>
    <w:p w14:paraId="4F0EE8E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5.绿色服务创新。</w:t>
      </w:r>
      <w:bookmarkStart w:id="26" w:name="_Toc8756"/>
      <w:bookmarkStart w:id="27" w:name="_Toc9143"/>
      <w:r>
        <w:rPr>
          <w:rFonts w:hint="eastAsia" w:ascii="仿宋_GB2312" w:hAnsi="仿宋_GB2312" w:eastAsia="仿宋_GB2312" w:cs="仿宋_GB2312"/>
          <w:color w:val="000000" w:themeColor="text1"/>
          <w:highlight w:val="none"/>
          <w:lang w:val="en-US" w:eastAsia="zh-CN"/>
          <w14:textFill>
            <w14:solidFill>
              <w14:schemeClr w14:val="tx1"/>
            </w14:solidFill>
          </w14:textFill>
        </w:rPr>
        <w:t> </w:t>
      </w:r>
      <w:r>
        <w:rPr>
          <w:rFonts w:hint="default" w:ascii="仿宋_GB2312" w:hAnsi="仿宋_GB2312" w:eastAsia="仿宋_GB2312" w:cs="仿宋_GB2312"/>
          <w:color w:val="000000" w:themeColor="text1"/>
          <w:highlight w:val="none"/>
          <w:lang w:val="en-US" w:eastAsia="zh-CN"/>
          <w14:textFill>
            <w14:solidFill>
              <w14:schemeClr w14:val="tx1"/>
            </w14:solidFill>
          </w14:textFill>
        </w:rPr>
        <w:t>持续推进智能网点升级改造，推广“苏信贷”面对面出额信贷产品，有效提升服务效率与客户体验。上线信贷展业平台，积极推进个人信贷业务全流程线上化、电子化与无纸化运营，降低业务办理过程中的资源消耗。</w:t>
      </w:r>
    </w:p>
    <w:p w14:paraId="43AE697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0" w:firstLineChars="0"/>
        <w:jc w:val="center"/>
        <w:textAlignment w:val="auto"/>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 xml:space="preserve">第五部分 </w:t>
      </w:r>
      <w:r>
        <w:rPr>
          <w:rFonts w:hint="default" w:ascii="黑体" w:hAnsi="黑体" w:eastAsia="黑体" w:cs="黑体"/>
          <w:color w:val="000000" w:themeColor="text1"/>
          <w:highlight w:val="none"/>
          <w:lang w:val="en-US" w:eastAsia="zh-CN"/>
          <w14:textFill>
            <w14:solidFill>
              <w14:schemeClr w14:val="tx1"/>
            </w14:solidFill>
          </w14:textFill>
        </w:rPr>
        <w:t>环境风险管理流程</w:t>
      </w:r>
      <w:bookmarkEnd w:id="26"/>
      <w:bookmarkEnd w:id="27"/>
      <w:bookmarkStart w:id="28" w:name="_Toc7226"/>
      <w:bookmarkStart w:id="29" w:name="_Toc30759"/>
    </w:p>
    <w:p w14:paraId="2F9474F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b w:val="0"/>
          <w:bCs w:val="0"/>
          <w:kern w:val="2"/>
          <w:sz w:val="32"/>
          <w:szCs w:val="32"/>
          <w:lang w:val="en-US" w:eastAsia="zh-CN" w:bidi="ar-SA"/>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一、贷前调查环节</w:t>
      </w:r>
    </w:p>
    <w:p w14:paraId="0F01B6D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本行在贷前调查中，将环境与社会风险识别作为授信决策的重要依据。针对一般类客户，通过多渠道信息交叉验证，全面了解其经营实况、用工状态及信息披露水平，同时借助外部数据平台排查司法纠纷、行政处罚、工商异常及征信失信等负面记录。结合行业监管政策变化，对客户合规性进行前置研判，确保申报主体及业务符合国家法律法规和产业政策导向。对于项目贷款，着重审查项目知识产权归属、资源利用效率及周边社会影响，逐一核实项目核准、土地审批及环境评价等关键批文的真实性与完整性。将环保合规审查覆盖至客户全类别，针对高污染、高环境风险行业细化调查审查要点，逐一核验客户对潜在风险点的认知程度及应对举措是否到位。</w:t>
      </w:r>
    </w:p>
    <w:p w14:paraId="44F19ECE">
      <w:pPr>
        <w:keepNext w:val="0"/>
        <w:keepLines w:val="0"/>
        <w:pageBreakBefore w:val="0"/>
        <w:widowControl w:val="0"/>
        <w:numPr>
          <w:ilvl w:val="0"/>
          <w:numId w:val="6"/>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贷中审核环节</w:t>
      </w:r>
    </w:p>
    <w:p w14:paraId="71D4176C">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优化绿色信贷业务审批机制，将客户合法经营及项目符合产业、土地、环保等政策要求作为授信准入门槛。对不符合环保标准的项目坚决不予放行，严禁向违规建设、环评缺失或未达行业准入条件的客户提供信贷支持。严格对照授信审批条件及产品制度规范，逐项核实环保手续、评估报告等放款要件是否齐备。针对环境与社会风险较高的客户，在合同中增设约束性条款，要求其按期提交风险专项报告、切实履行环境与社会风险管理责任，并承诺积极配合贷款人的监督检查。</w:t>
      </w:r>
    </w:p>
    <w:p w14:paraId="0F48F755">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三、贷后管理环节</w:t>
      </w:r>
    </w:p>
    <w:p w14:paraId="14A26466">
      <w:pPr>
        <w:keepNext w:val="0"/>
        <w:keepLines w:val="0"/>
        <w:pageBreakBefore w:val="0"/>
        <w:widowControl w:val="0"/>
        <w:kinsoku/>
        <w:wordWrap/>
        <w:overflowPunct/>
        <w:topLinePunct w:val="0"/>
        <w:autoSpaceDE/>
        <w:autoSpaceDN/>
        <w:bidi w:val="0"/>
        <w:adjustRightInd/>
        <w:snapToGrid/>
        <w:spacing w:line="560" w:lineRule="exact"/>
        <w:ind w:firstLine="67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贷后管理注重动态跟踪与前瞻预警，持续关注借款人及担保人的经营运转、信用变化、财务健康、纳税及环评合规情况，监测还息还本记录是否连续正常，研判主要产品市场走势及对外担保、诉讼事项对偿贷能力的影响。将环境绩效与安全生产状况纳入贷后监控指标体系，做到底数清晰、动态掌控。如遇危及信贷安全的不利变动，及时组织风险重估，果断采取应对措施。对存在重大隐患的客户，限期整改并跟踪落实；逾期未整改到位的，主动调整授信策略，有序压缩信贷规模，严控风险敞口。</w:t>
      </w:r>
    </w:p>
    <w:p w14:paraId="6FDF06D5">
      <w:pPr>
        <w:pStyle w:val="2"/>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p>
    <w:p w14:paraId="5B82A49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0" w:firstLineChars="0"/>
        <w:jc w:val="center"/>
        <w:textAlignment w:val="auto"/>
        <w:rPr>
          <w:rFonts w:hint="default"/>
          <w:lang w:val="en-US" w:eastAsia="zh-CN"/>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 xml:space="preserve">第六部分 </w:t>
      </w:r>
      <w:r>
        <w:rPr>
          <w:rFonts w:hint="default" w:ascii="黑体" w:hAnsi="黑体" w:eastAsia="黑体" w:cs="黑体"/>
          <w:color w:val="000000" w:themeColor="text1"/>
          <w:highlight w:val="none"/>
          <w:lang w:val="en-US" w:eastAsia="zh-CN"/>
          <w14:textFill>
            <w14:solidFill>
              <w14:schemeClr w14:val="tx1"/>
            </w14:solidFill>
          </w14:textFill>
        </w:rPr>
        <w:t>环境风险和机遇</w:t>
      </w:r>
      <w:bookmarkEnd w:id="28"/>
      <w:bookmarkEnd w:id="29"/>
    </w:p>
    <w:p w14:paraId="29B17C0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lang w:val="en-US" w:eastAsia="zh-CN"/>
        </w:rPr>
      </w:pPr>
      <w:r>
        <w:rPr>
          <w:rFonts w:hint="default" w:ascii="仿宋_GB2312" w:hAnsi="仿宋_GB2312" w:eastAsia="仿宋_GB2312" w:cs="仿宋_GB2312"/>
          <w:color w:val="000000" w:themeColor="text1"/>
          <w:highlight w:val="none"/>
          <w:lang w:val="en-US" w:eastAsia="zh-CN"/>
          <w14:textFill>
            <w14:solidFill>
              <w14:schemeClr w14:val="tx1"/>
            </w14:solidFill>
          </w14:textFill>
        </w:rPr>
        <w:t>本行面临的环境风险</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包括转型风险与物理风险，转型</w:t>
      </w:r>
      <w:r>
        <w:rPr>
          <w:rFonts w:hint="default" w:ascii="仿宋_GB2312" w:hAnsi="仿宋_GB2312" w:eastAsia="仿宋_GB2312" w:cs="仿宋_GB2312"/>
          <w:color w:val="000000" w:themeColor="text1"/>
          <w:highlight w:val="none"/>
          <w:lang w:val="en-US" w:eastAsia="zh-CN"/>
          <w14:textFill>
            <w14:solidFill>
              <w14:schemeClr w14:val="tx1"/>
            </w14:solidFill>
          </w14:textFill>
        </w:rPr>
        <w:t>风险</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及</w:t>
      </w:r>
      <w:r>
        <w:rPr>
          <w:rFonts w:hint="default" w:ascii="仿宋_GB2312" w:hAnsi="仿宋_GB2312" w:eastAsia="仿宋_GB2312" w:cs="仿宋_GB2312"/>
          <w:color w:val="000000" w:themeColor="text1"/>
          <w:highlight w:val="none"/>
          <w:lang w:val="en-US" w:eastAsia="zh-CN"/>
          <w14:textFill>
            <w14:solidFill>
              <w14:schemeClr w14:val="tx1"/>
            </w14:solidFill>
          </w14:textFill>
        </w:rPr>
        <w:t>应对措施见下表</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w:t>
      </w:r>
    </w:p>
    <w:tbl>
      <w:tblPr>
        <w:tblStyle w:val="18"/>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6"/>
        <w:gridCol w:w="2438"/>
        <w:gridCol w:w="2110"/>
        <w:gridCol w:w="2235"/>
      </w:tblGrid>
      <w:tr w14:paraId="6E22D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blHeader/>
        </w:trPr>
        <w:tc>
          <w:tcPr>
            <w:tcW w:w="1736" w:type="dxa"/>
            <w:vAlign w:val="center"/>
          </w:tcPr>
          <w:p w14:paraId="45F05BC0">
            <w:pPr>
              <w:pStyle w:val="22"/>
              <w:bidi w:val="0"/>
              <w:jc w:val="center"/>
              <w:rPr>
                <w:rFonts w:hint="default" w:ascii="黑体" w:hAnsi="黑体" w:eastAsia="黑体" w:cs="黑体"/>
                <w:b w:val="0"/>
                <w:bCs w:val="0"/>
                <w:sz w:val="24"/>
                <w:szCs w:val="24"/>
                <w:lang w:val="en-US" w:eastAsia="zh-CN"/>
              </w:rPr>
            </w:pPr>
            <w:r>
              <w:rPr>
                <w:rFonts w:hint="default" w:ascii="黑体" w:hAnsi="黑体" w:eastAsia="黑体" w:cs="黑体"/>
                <w:b w:val="0"/>
                <w:bCs w:val="0"/>
                <w:sz w:val="24"/>
                <w:szCs w:val="24"/>
                <w:lang w:val="en-US" w:eastAsia="zh-CN"/>
              </w:rPr>
              <w:t>风险来源</w:t>
            </w:r>
          </w:p>
        </w:tc>
        <w:tc>
          <w:tcPr>
            <w:tcW w:w="2438" w:type="dxa"/>
            <w:vAlign w:val="center"/>
          </w:tcPr>
          <w:p w14:paraId="60B843C7">
            <w:pPr>
              <w:pStyle w:val="22"/>
              <w:bidi w:val="0"/>
              <w:jc w:val="center"/>
              <w:rPr>
                <w:rFonts w:hint="default" w:ascii="黑体" w:hAnsi="黑体" w:eastAsia="黑体" w:cs="黑体"/>
                <w:b w:val="0"/>
                <w:bCs w:val="0"/>
                <w:sz w:val="24"/>
                <w:szCs w:val="24"/>
                <w:lang w:val="en-US" w:eastAsia="zh-CN"/>
              </w:rPr>
            </w:pPr>
            <w:r>
              <w:rPr>
                <w:rFonts w:hint="default" w:ascii="黑体" w:hAnsi="黑体" w:eastAsia="黑体" w:cs="黑体"/>
                <w:b w:val="0"/>
                <w:bCs w:val="0"/>
                <w:sz w:val="24"/>
                <w:szCs w:val="24"/>
                <w:lang w:val="en-US" w:eastAsia="zh-CN"/>
              </w:rPr>
              <w:t>风险描述</w:t>
            </w:r>
          </w:p>
        </w:tc>
        <w:tc>
          <w:tcPr>
            <w:tcW w:w="2110" w:type="dxa"/>
            <w:vAlign w:val="center"/>
          </w:tcPr>
          <w:p w14:paraId="49571CF1">
            <w:pPr>
              <w:pStyle w:val="22"/>
              <w:bidi w:val="0"/>
              <w:jc w:val="center"/>
              <w:rPr>
                <w:rFonts w:hint="default" w:ascii="黑体" w:hAnsi="黑体" w:eastAsia="黑体" w:cs="黑体"/>
                <w:b w:val="0"/>
                <w:bCs w:val="0"/>
                <w:sz w:val="24"/>
                <w:szCs w:val="24"/>
                <w:lang w:val="en-US" w:eastAsia="zh-CN"/>
              </w:rPr>
            </w:pPr>
            <w:r>
              <w:rPr>
                <w:rFonts w:hint="default" w:ascii="黑体" w:hAnsi="黑体" w:eastAsia="黑体" w:cs="黑体"/>
                <w:b w:val="0"/>
                <w:bCs w:val="0"/>
                <w:sz w:val="24"/>
                <w:szCs w:val="24"/>
                <w:lang w:val="en-US" w:eastAsia="zh-CN"/>
              </w:rPr>
              <w:t>主要影响</w:t>
            </w:r>
          </w:p>
        </w:tc>
        <w:tc>
          <w:tcPr>
            <w:tcW w:w="2235" w:type="dxa"/>
            <w:vAlign w:val="center"/>
          </w:tcPr>
          <w:p w14:paraId="27C5E57C">
            <w:pPr>
              <w:pStyle w:val="22"/>
              <w:bidi w:val="0"/>
              <w:jc w:val="center"/>
              <w:rPr>
                <w:rFonts w:hint="default" w:ascii="黑体" w:hAnsi="黑体" w:eastAsia="黑体" w:cs="黑体"/>
                <w:b w:val="0"/>
                <w:bCs w:val="0"/>
                <w:sz w:val="24"/>
                <w:szCs w:val="24"/>
                <w:lang w:val="en-US" w:eastAsia="zh-CN"/>
              </w:rPr>
            </w:pPr>
            <w:r>
              <w:rPr>
                <w:rFonts w:hint="default" w:ascii="黑体" w:hAnsi="黑体" w:eastAsia="黑体" w:cs="黑体"/>
                <w:b w:val="0"/>
                <w:bCs w:val="0"/>
                <w:sz w:val="24"/>
                <w:szCs w:val="24"/>
                <w:lang w:val="en-US" w:eastAsia="zh-CN"/>
              </w:rPr>
              <w:t>应对措施</w:t>
            </w:r>
          </w:p>
        </w:tc>
      </w:tr>
      <w:tr w14:paraId="4276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736" w:type="dxa"/>
            <w:vAlign w:val="center"/>
          </w:tcPr>
          <w:p w14:paraId="41BADA5E">
            <w:pPr>
              <w:pStyle w:val="22"/>
              <w:bidi w:val="0"/>
              <w:jc w:val="center"/>
              <w:rPr>
                <w:rFonts w:hint="default" w:ascii="仿宋_GB2312" w:hAnsi="仿宋_GB2312" w:eastAsia="仿宋_GB2312" w:cs="仿宋_GB2312"/>
                <w:b w:val="0"/>
                <w:bCs w:val="0"/>
                <w:sz w:val="24"/>
                <w:szCs w:val="24"/>
                <w:lang w:val="en-US" w:eastAsia="zh-CN"/>
              </w:rPr>
            </w:pPr>
            <w:r>
              <w:rPr>
                <w:rFonts w:hint="default" w:ascii="仿宋_GB2312" w:hAnsi="仿宋_GB2312" w:eastAsia="仿宋_GB2312" w:cs="仿宋_GB2312"/>
                <w:b w:val="0"/>
                <w:bCs w:val="0"/>
                <w:sz w:val="24"/>
                <w:szCs w:val="24"/>
                <w:lang w:val="en-US" w:eastAsia="zh-CN"/>
              </w:rPr>
              <w:t>政策及法律</w:t>
            </w:r>
          </w:p>
        </w:tc>
        <w:tc>
          <w:tcPr>
            <w:tcW w:w="2438" w:type="dxa"/>
            <w:vAlign w:val="center"/>
          </w:tcPr>
          <w:p w14:paraId="75DC4D0A">
            <w:pPr>
              <w:pStyle w:val="22"/>
              <w:bidi w:val="0"/>
              <w:jc w:val="left"/>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国家</w:t>
            </w:r>
            <w:r>
              <w:rPr>
                <w:rFonts w:hint="default" w:ascii="仿宋_GB2312" w:hAnsi="仿宋_GB2312" w:eastAsia="仿宋_GB2312" w:cs="仿宋_GB2312"/>
                <w:b w:val="0"/>
                <w:bCs w:val="0"/>
                <w:sz w:val="24"/>
                <w:szCs w:val="24"/>
                <w:lang w:val="en-US" w:eastAsia="zh-CN"/>
              </w:rPr>
              <w:t>对银行出台环境相关标准和发布系列规章制度等，不能及时把握政策导向进行业务转型的机构将面临政策与法规风险。</w:t>
            </w:r>
          </w:p>
        </w:tc>
        <w:tc>
          <w:tcPr>
            <w:tcW w:w="2110" w:type="dxa"/>
            <w:vAlign w:val="center"/>
          </w:tcPr>
          <w:p w14:paraId="5EB81425">
            <w:pPr>
              <w:pStyle w:val="22"/>
              <w:bidi w:val="0"/>
              <w:jc w:val="left"/>
              <w:rPr>
                <w:rFonts w:hint="default" w:ascii="仿宋_GB2312" w:hAnsi="仿宋_GB2312" w:eastAsia="仿宋_GB2312" w:cs="仿宋_GB2312"/>
                <w:b w:val="0"/>
                <w:bCs w:val="0"/>
                <w:sz w:val="24"/>
                <w:szCs w:val="24"/>
                <w:lang w:val="en-US" w:eastAsia="zh-CN"/>
              </w:rPr>
            </w:pPr>
            <w:r>
              <w:rPr>
                <w:rFonts w:hint="default" w:ascii="仿宋_GB2312" w:hAnsi="仿宋_GB2312" w:eastAsia="仿宋_GB2312" w:cs="仿宋_GB2312"/>
                <w:b w:val="0"/>
                <w:bCs w:val="0"/>
                <w:sz w:val="24"/>
                <w:szCs w:val="24"/>
                <w:lang w:val="en-US" w:eastAsia="zh-CN"/>
              </w:rPr>
              <w:t>如未能及时跟进国家相关法律法规及政策，制定和落实具体实施措施，可能需要付出额外的成本，甚至面临罚款或诉讼等法律风险。</w:t>
            </w:r>
          </w:p>
        </w:tc>
        <w:tc>
          <w:tcPr>
            <w:tcW w:w="2235" w:type="dxa"/>
            <w:vAlign w:val="center"/>
          </w:tcPr>
          <w:p w14:paraId="53C22747">
            <w:pPr>
              <w:pStyle w:val="22"/>
              <w:bidi w:val="0"/>
              <w:jc w:val="left"/>
              <w:rPr>
                <w:rFonts w:hint="default" w:ascii="仿宋_GB2312" w:hAnsi="仿宋_GB2312" w:eastAsia="仿宋_GB2312" w:cs="仿宋_GB2312"/>
                <w:b w:val="0"/>
                <w:bCs w:val="0"/>
                <w:sz w:val="24"/>
                <w:szCs w:val="24"/>
                <w:lang w:val="en-US" w:eastAsia="zh-CN"/>
              </w:rPr>
            </w:pPr>
            <w:r>
              <w:rPr>
                <w:rFonts w:hint="default" w:ascii="仿宋_GB2312" w:hAnsi="仿宋_GB2312" w:eastAsia="仿宋_GB2312" w:cs="仿宋_GB2312"/>
                <w:b w:val="0"/>
                <w:bCs w:val="0"/>
                <w:sz w:val="24"/>
                <w:szCs w:val="24"/>
                <w:lang w:val="en-US" w:eastAsia="zh-CN"/>
              </w:rPr>
              <w:t>持续完善绿色金融相关组织架构，响应国家政策，对应出台行内绿色金融相关政策。</w:t>
            </w:r>
          </w:p>
        </w:tc>
      </w:tr>
      <w:tr w14:paraId="69616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tblHeader/>
        </w:trPr>
        <w:tc>
          <w:tcPr>
            <w:tcW w:w="1736" w:type="dxa"/>
            <w:vAlign w:val="center"/>
          </w:tcPr>
          <w:p w14:paraId="1C0320EA">
            <w:pPr>
              <w:pStyle w:val="22"/>
              <w:bidi w:val="0"/>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信用风险</w:t>
            </w:r>
          </w:p>
        </w:tc>
        <w:tc>
          <w:tcPr>
            <w:tcW w:w="2438" w:type="dxa"/>
            <w:vAlign w:val="center"/>
          </w:tcPr>
          <w:p w14:paraId="354F77BA">
            <w:pPr>
              <w:pStyle w:val="22"/>
              <w:bidi w:val="0"/>
              <w:jc w:val="left"/>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能源转型、污染防治等相关政策的出台或标准提高，部分行业的成本增加，产量下降，经营稳定性下降</w:t>
            </w:r>
          </w:p>
        </w:tc>
        <w:tc>
          <w:tcPr>
            <w:tcW w:w="2110" w:type="dxa"/>
            <w:vAlign w:val="center"/>
          </w:tcPr>
          <w:p w14:paraId="35573AC4">
            <w:pPr>
              <w:pStyle w:val="22"/>
              <w:bidi w:val="0"/>
              <w:jc w:val="left"/>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客户经营发展受限，利润下降，偿债能力下降，违约率上升。</w:t>
            </w:r>
          </w:p>
        </w:tc>
        <w:tc>
          <w:tcPr>
            <w:tcW w:w="2235" w:type="dxa"/>
            <w:vAlign w:val="center"/>
          </w:tcPr>
          <w:p w14:paraId="5BD16E92">
            <w:pPr>
              <w:pStyle w:val="22"/>
              <w:bidi w:val="0"/>
              <w:jc w:val="left"/>
              <w:rPr>
                <w:rFonts w:hint="default" w:ascii="仿宋_GB2312" w:hAnsi="仿宋_GB2312" w:eastAsia="仿宋_GB2312" w:cs="仿宋_GB2312"/>
                <w:b w:val="0"/>
                <w:bCs w:val="0"/>
                <w:sz w:val="24"/>
                <w:szCs w:val="24"/>
                <w:lang w:val="en-US" w:eastAsia="zh-CN"/>
              </w:rPr>
            </w:pPr>
            <w:r>
              <w:rPr>
                <w:rFonts w:hint="default" w:ascii="仿宋_GB2312" w:hAnsi="仿宋_GB2312" w:eastAsia="仿宋_GB2312" w:cs="仿宋_GB2312"/>
                <w:b w:val="0"/>
                <w:bCs w:val="0"/>
                <w:sz w:val="24"/>
                <w:szCs w:val="24"/>
                <w:lang w:val="en-US" w:eastAsia="zh-CN"/>
              </w:rPr>
              <w:t>协助客户转型升级</w:t>
            </w:r>
            <w:r>
              <w:rPr>
                <w:rFonts w:hint="eastAsia" w:ascii="仿宋_GB2312" w:hAnsi="仿宋_GB2312" w:eastAsia="仿宋_GB2312" w:cs="仿宋_GB2312"/>
                <w:b w:val="0"/>
                <w:bCs w:val="0"/>
                <w:sz w:val="24"/>
                <w:szCs w:val="24"/>
                <w:lang w:val="en-US" w:eastAsia="zh-CN"/>
              </w:rPr>
              <w:t>，加强业务管理，完善风险管理办法，动态监测客户风险预警信息。</w:t>
            </w:r>
          </w:p>
        </w:tc>
      </w:tr>
      <w:tr w14:paraId="7976F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736" w:type="dxa"/>
            <w:vAlign w:val="center"/>
          </w:tcPr>
          <w:p w14:paraId="5D109EA9">
            <w:pPr>
              <w:pStyle w:val="22"/>
              <w:bidi w:val="0"/>
              <w:jc w:val="center"/>
              <w:rPr>
                <w:rFonts w:hint="default" w:ascii="仿宋_GB2312" w:hAnsi="仿宋_GB2312" w:eastAsia="仿宋_GB2312" w:cs="仿宋_GB2312"/>
                <w:b w:val="0"/>
                <w:bCs w:val="0"/>
                <w:sz w:val="24"/>
                <w:szCs w:val="24"/>
                <w:lang w:val="en-US" w:eastAsia="zh-CN"/>
              </w:rPr>
            </w:pPr>
            <w:r>
              <w:rPr>
                <w:rFonts w:hint="default" w:ascii="仿宋_GB2312" w:hAnsi="仿宋_GB2312" w:eastAsia="仿宋_GB2312" w:cs="仿宋_GB2312"/>
                <w:b w:val="0"/>
                <w:bCs w:val="0"/>
                <w:sz w:val="24"/>
                <w:szCs w:val="24"/>
                <w:lang w:val="en-US" w:eastAsia="zh-CN"/>
              </w:rPr>
              <w:t>市场风险</w:t>
            </w:r>
          </w:p>
        </w:tc>
        <w:tc>
          <w:tcPr>
            <w:tcW w:w="2438" w:type="dxa"/>
            <w:vAlign w:val="center"/>
          </w:tcPr>
          <w:p w14:paraId="4210006B">
            <w:pPr>
              <w:pStyle w:val="22"/>
              <w:bidi w:val="0"/>
              <w:jc w:val="left"/>
              <w:rPr>
                <w:rFonts w:hint="default" w:ascii="仿宋_GB2312" w:hAnsi="仿宋_GB2312" w:eastAsia="仿宋_GB2312" w:cs="仿宋_GB2312"/>
                <w:b w:val="0"/>
                <w:bCs w:val="0"/>
                <w:sz w:val="24"/>
                <w:szCs w:val="24"/>
                <w:lang w:val="en-US" w:eastAsia="zh-CN"/>
              </w:rPr>
            </w:pPr>
            <w:r>
              <w:rPr>
                <w:rFonts w:hint="default" w:ascii="仿宋_GB2312" w:hAnsi="仿宋_GB2312" w:eastAsia="仿宋_GB2312" w:cs="仿宋_GB2312"/>
                <w:b w:val="0"/>
                <w:bCs w:val="0"/>
                <w:sz w:val="24"/>
                <w:szCs w:val="24"/>
                <w:lang w:val="en-US" w:eastAsia="zh-CN"/>
              </w:rPr>
              <w:t>能源转型</w:t>
            </w:r>
            <w:r>
              <w:rPr>
                <w:rFonts w:hint="eastAsia" w:ascii="仿宋_GB2312" w:hAnsi="仿宋_GB2312" w:eastAsia="仿宋_GB2312" w:cs="仿宋_GB2312"/>
                <w:b w:val="0"/>
                <w:bCs w:val="0"/>
                <w:sz w:val="24"/>
                <w:szCs w:val="24"/>
                <w:lang w:val="en-US" w:eastAsia="zh-CN"/>
              </w:rPr>
              <w:t>可能会影响市场价格导向，从而能导致企业的成本上升或者市场份额的降低，冲击客户的</w:t>
            </w:r>
            <w:r>
              <w:rPr>
                <w:rFonts w:hint="default" w:ascii="仿宋_GB2312" w:hAnsi="仿宋_GB2312" w:eastAsia="仿宋_GB2312" w:cs="仿宋_GB2312"/>
                <w:b w:val="0"/>
                <w:bCs w:val="0"/>
                <w:sz w:val="24"/>
                <w:szCs w:val="24"/>
                <w:lang w:val="en-US" w:eastAsia="zh-CN"/>
              </w:rPr>
              <w:t>盈利能力</w:t>
            </w:r>
            <w:r>
              <w:rPr>
                <w:rFonts w:hint="eastAsia" w:ascii="仿宋_GB2312" w:hAnsi="仿宋_GB2312" w:eastAsia="仿宋_GB2312" w:cs="仿宋_GB2312"/>
                <w:b w:val="0"/>
                <w:bCs w:val="0"/>
                <w:sz w:val="24"/>
                <w:szCs w:val="24"/>
                <w:lang w:val="en-US" w:eastAsia="zh-CN"/>
              </w:rPr>
              <w:t>。</w:t>
            </w:r>
          </w:p>
        </w:tc>
        <w:tc>
          <w:tcPr>
            <w:tcW w:w="2110" w:type="dxa"/>
            <w:vAlign w:val="center"/>
          </w:tcPr>
          <w:p w14:paraId="7D94B1DF">
            <w:pPr>
              <w:pStyle w:val="22"/>
              <w:bidi w:val="0"/>
              <w:jc w:val="left"/>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消费者更倾向于环保低碳消费，对部分高碳行业的经营受限。</w:t>
            </w:r>
          </w:p>
        </w:tc>
        <w:tc>
          <w:tcPr>
            <w:tcW w:w="2235" w:type="dxa"/>
            <w:vAlign w:val="center"/>
          </w:tcPr>
          <w:p w14:paraId="75AD161A">
            <w:pPr>
              <w:pStyle w:val="22"/>
              <w:bidi w:val="0"/>
              <w:jc w:val="left"/>
              <w:rPr>
                <w:rFonts w:hint="default" w:ascii="仿宋_GB2312" w:hAnsi="仿宋_GB2312" w:eastAsia="仿宋_GB2312" w:cs="仿宋_GB2312"/>
                <w:b w:val="0"/>
                <w:bCs w:val="0"/>
                <w:sz w:val="24"/>
                <w:szCs w:val="24"/>
                <w:lang w:val="en-US" w:eastAsia="zh-CN"/>
              </w:rPr>
            </w:pPr>
            <w:r>
              <w:rPr>
                <w:rFonts w:hint="default" w:ascii="仿宋_GB2312" w:hAnsi="仿宋_GB2312" w:eastAsia="仿宋_GB2312" w:cs="仿宋_GB2312"/>
                <w:b w:val="0"/>
                <w:bCs w:val="0"/>
                <w:sz w:val="24"/>
                <w:szCs w:val="24"/>
                <w:lang w:val="en-US" w:eastAsia="zh-CN"/>
              </w:rPr>
              <w:t>协助客户转型升级；优化绿色信</w:t>
            </w:r>
          </w:p>
          <w:p w14:paraId="0E7D6856">
            <w:pPr>
              <w:pStyle w:val="22"/>
              <w:bidi w:val="0"/>
              <w:jc w:val="left"/>
              <w:rPr>
                <w:rFonts w:hint="default" w:ascii="仿宋_GB2312" w:hAnsi="仿宋_GB2312" w:eastAsia="仿宋_GB2312" w:cs="仿宋_GB2312"/>
                <w:b w:val="0"/>
                <w:bCs w:val="0"/>
                <w:sz w:val="24"/>
                <w:szCs w:val="24"/>
                <w:lang w:val="en-US" w:eastAsia="zh-CN"/>
              </w:rPr>
            </w:pPr>
            <w:r>
              <w:rPr>
                <w:rFonts w:hint="default" w:ascii="仿宋_GB2312" w:hAnsi="仿宋_GB2312" w:eastAsia="仿宋_GB2312" w:cs="仿宋_GB2312"/>
                <w:b w:val="0"/>
                <w:bCs w:val="0"/>
                <w:sz w:val="24"/>
                <w:szCs w:val="24"/>
                <w:lang w:val="en-US" w:eastAsia="zh-CN"/>
              </w:rPr>
              <w:t>贷业务系统科技支撑。</w:t>
            </w:r>
          </w:p>
        </w:tc>
      </w:tr>
      <w:tr w14:paraId="0E192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736" w:type="dxa"/>
            <w:vAlign w:val="center"/>
          </w:tcPr>
          <w:p w14:paraId="3CC7D88B">
            <w:pPr>
              <w:pStyle w:val="22"/>
              <w:bidi w:val="0"/>
              <w:jc w:val="center"/>
              <w:rPr>
                <w:rFonts w:hint="default" w:ascii="仿宋_GB2312" w:hAnsi="仿宋_GB2312" w:eastAsia="仿宋_GB2312" w:cs="仿宋_GB2312"/>
                <w:b w:val="0"/>
                <w:bCs w:val="0"/>
                <w:sz w:val="24"/>
                <w:szCs w:val="24"/>
                <w:lang w:val="en-US" w:eastAsia="zh-CN"/>
              </w:rPr>
            </w:pPr>
            <w:r>
              <w:rPr>
                <w:rFonts w:hint="default" w:ascii="仿宋_GB2312" w:hAnsi="仿宋_GB2312" w:eastAsia="仿宋_GB2312" w:cs="仿宋_GB2312"/>
                <w:b w:val="0"/>
                <w:bCs w:val="0"/>
                <w:sz w:val="24"/>
                <w:szCs w:val="24"/>
                <w:lang w:val="en-US" w:eastAsia="zh-CN"/>
              </w:rPr>
              <w:t>声誉风险</w:t>
            </w:r>
          </w:p>
        </w:tc>
        <w:tc>
          <w:tcPr>
            <w:tcW w:w="2438" w:type="dxa"/>
            <w:vAlign w:val="center"/>
          </w:tcPr>
          <w:p w14:paraId="2489BAE6">
            <w:pPr>
              <w:pStyle w:val="22"/>
              <w:bidi w:val="0"/>
              <w:jc w:val="left"/>
              <w:rPr>
                <w:rFonts w:hint="default" w:ascii="仿宋_GB2312" w:hAnsi="仿宋_GB2312" w:eastAsia="仿宋_GB2312" w:cs="仿宋_GB2312"/>
                <w:b w:val="0"/>
                <w:bCs w:val="0"/>
                <w:sz w:val="24"/>
                <w:szCs w:val="24"/>
                <w:lang w:val="en-US" w:eastAsia="zh-CN"/>
              </w:rPr>
            </w:pPr>
            <w:r>
              <w:rPr>
                <w:rFonts w:hint="default" w:ascii="仿宋_GB2312" w:hAnsi="仿宋_GB2312" w:eastAsia="仿宋_GB2312" w:cs="仿宋_GB2312"/>
                <w:b w:val="0"/>
                <w:bCs w:val="0"/>
                <w:sz w:val="24"/>
                <w:szCs w:val="24"/>
                <w:lang w:val="en-US" w:eastAsia="zh-CN"/>
              </w:rPr>
              <w:t>环境不良表现和负面消息可能影响本行声誉</w:t>
            </w:r>
            <w:r>
              <w:rPr>
                <w:rFonts w:hint="eastAsia" w:ascii="仿宋_GB2312" w:hAnsi="仿宋_GB2312" w:eastAsia="仿宋_GB2312" w:cs="仿宋_GB2312"/>
                <w:b w:val="0"/>
                <w:bCs w:val="0"/>
                <w:sz w:val="24"/>
                <w:szCs w:val="24"/>
                <w:lang w:val="en-US" w:eastAsia="zh-CN"/>
              </w:rPr>
              <w:t>。</w:t>
            </w:r>
          </w:p>
        </w:tc>
        <w:tc>
          <w:tcPr>
            <w:tcW w:w="2110" w:type="dxa"/>
            <w:vAlign w:val="center"/>
          </w:tcPr>
          <w:p w14:paraId="2BEDC8A5">
            <w:pPr>
              <w:pStyle w:val="22"/>
              <w:bidi w:val="0"/>
              <w:jc w:val="left"/>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冲击银行的品牌形象、客户关系，造成较大的负面影响。</w:t>
            </w:r>
          </w:p>
        </w:tc>
        <w:tc>
          <w:tcPr>
            <w:tcW w:w="2235" w:type="dxa"/>
            <w:vAlign w:val="center"/>
          </w:tcPr>
          <w:p w14:paraId="625826FD">
            <w:pPr>
              <w:pStyle w:val="22"/>
              <w:bidi w:val="0"/>
              <w:jc w:val="left"/>
              <w:rPr>
                <w:rFonts w:hint="default" w:ascii="仿宋_GB2312" w:hAnsi="仿宋_GB2312" w:eastAsia="仿宋_GB2312" w:cs="仿宋_GB2312"/>
                <w:b w:val="0"/>
                <w:bCs w:val="0"/>
                <w:sz w:val="24"/>
                <w:szCs w:val="24"/>
                <w:lang w:val="en-US" w:eastAsia="zh-CN"/>
              </w:rPr>
            </w:pPr>
            <w:r>
              <w:rPr>
                <w:rFonts w:hint="default" w:ascii="仿宋_GB2312" w:hAnsi="仿宋_GB2312" w:eastAsia="仿宋_GB2312" w:cs="仿宋_GB2312"/>
                <w:b w:val="0"/>
                <w:bCs w:val="0"/>
                <w:sz w:val="24"/>
                <w:szCs w:val="24"/>
                <w:lang w:val="en-US" w:eastAsia="zh-CN"/>
              </w:rPr>
              <w:t>加强企业文化和品牌建设，积极承担社会责任，主动接受社会舆论监督并及时准确披露信息，定期开展声誉风险隐患排查。</w:t>
            </w:r>
          </w:p>
        </w:tc>
      </w:tr>
    </w:tbl>
    <w:p w14:paraId="05190B1F">
      <w:pPr>
        <w:pStyle w:val="23"/>
        <w:keepNext w:val="0"/>
        <w:keepLines w:val="0"/>
        <w:pageBreakBefore w:val="0"/>
        <w:widowControl w:val="0"/>
        <w:numPr>
          <w:ilvl w:val="0"/>
          <w:numId w:val="0"/>
        </w:numPr>
        <w:tabs>
          <w:tab w:val="clear" w:pos="420"/>
        </w:tabs>
        <w:kinsoku/>
        <w:wordWrap/>
        <w:overflowPunct/>
        <w:topLinePunct w:val="0"/>
        <w:autoSpaceDE/>
        <w:autoSpaceDN/>
        <w:bidi w:val="0"/>
        <w:adjustRightInd/>
        <w:snapToGrid/>
        <w:ind w:left="0" w:leftChars="0" w:firstLine="320" w:firstLineChars="100"/>
        <w:jc w:val="both"/>
        <w:textAlignment w:val="auto"/>
        <w:rPr>
          <w:rFonts w:hint="default" w:ascii="仿宋_GB2312" w:hAnsi="仿宋_GB2312" w:eastAsia="仿宋_GB2312" w:cs="仿宋_GB2312"/>
          <w:b w:val="0"/>
          <w:color w:val="000000" w:themeColor="text1"/>
          <w:kern w:val="2"/>
          <w:sz w:val="32"/>
          <w:szCs w:val="22"/>
          <w:highlight w:val="none"/>
          <w:lang w:val="en-US" w:eastAsia="zh-CN" w:bidi="ar-SA"/>
          <w14:textFill>
            <w14:solidFill>
              <w14:schemeClr w14:val="tx1"/>
            </w14:solidFill>
          </w14:textFill>
        </w:rPr>
      </w:pPr>
      <w:r>
        <w:rPr>
          <w:rFonts w:hint="default" w:ascii="仿宋_GB2312" w:hAnsi="仿宋_GB2312" w:eastAsia="仿宋_GB2312" w:cs="仿宋_GB2312"/>
          <w:b w:val="0"/>
          <w:color w:val="000000" w:themeColor="text1"/>
          <w:kern w:val="2"/>
          <w:sz w:val="32"/>
          <w:szCs w:val="22"/>
          <w:highlight w:val="none"/>
          <w:lang w:val="en-US" w:eastAsia="zh-CN" w:bidi="ar-SA"/>
          <w14:textFill>
            <w14:solidFill>
              <w14:schemeClr w14:val="tx1"/>
            </w14:solidFill>
          </w14:textFill>
        </w:rPr>
        <w:t>本行面临的物理风险及应对措施</w:t>
      </w:r>
      <w:r>
        <w:rPr>
          <w:rFonts w:hint="eastAsia" w:ascii="仿宋_GB2312" w:hAnsi="仿宋_GB2312" w:eastAsia="仿宋_GB2312" w:cs="仿宋_GB2312"/>
          <w:b w:val="0"/>
          <w:color w:val="000000" w:themeColor="text1"/>
          <w:kern w:val="2"/>
          <w:sz w:val="32"/>
          <w:szCs w:val="22"/>
          <w:highlight w:val="none"/>
          <w:lang w:val="en-US" w:eastAsia="zh-CN" w:bidi="ar-SA"/>
          <w14:textFill>
            <w14:solidFill>
              <w14:schemeClr w14:val="tx1"/>
            </w14:solidFill>
          </w14:textFill>
        </w:rPr>
        <w:t>见下表：</w:t>
      </w:r>
    </w:p>
    <w:tbl>
      <w:tblPr>
        <w:tblStyle w:val="18"/>
        <w:tblW w:w="8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3"/>
        <w:gridCol w:w="1199"/>
        <w:gridCol w:w="2700"/>
        <w:gridCol w:w="3014"/>
      </w:tblGrid>
      <w:tr w14:paraId="290B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763" w:type="dxa"/>
            <w:vAlign w:val="center"/>
          </w:tcPr>
          <w:p w14:paraId="525F71E9">
            <w:pPr>
              <w:pStyle w:val="22"/>
              <w:bidi w:val="0"/>
              <w:jc w:val="center"/>
              <w:rPr>
                <w:rFonts w:hint="default" w:ascii="黑体" w:hAnsi="黑体" w:eastAsia="黑体" w:cs="黑体"/>
                <w:b w:val="0"/>
                <w:bCs w:val="0"/>
                <w:sz w:val="24"/>
                <w:szCs w:val="24"/>
                <w:lang w:val="en-US" w:eastAsia="zh-CN"/>
              </w:rPr>
            </w:pPr>
            <w:r>
              <w:rPr>
                <w:rFonts w:hint="default" w:ascii="黑体" w:hAnsi="黑体" w:eastAsia="黑体" w:cs="黑体"/>
                <w:b w:val="0"/>
                <w:bCs w:val="0"/>
                <w:sz w:val="24"/>
                <w:szCs w:val="24"/>
                <w:lang w:val="en-US" w:eastAsia="zh-CN"/>
              </w:rPr>
              <w:t>风险</w:t>
            </w:r>
            <w:r>
              <w:rPr>
                <w:rFonts w:hint="eastAsia" w:ascii="黑体" w:hAnsi="黑体" w:eastAsia="黑体" w:cs="黑体"/>
                <w:b w:val="0"/>
                <w:bCs w:val="0"/>
                <w:sz w:val="24"/>
                <w:szCs w:val="24"/>
                <w:lang w:val="en-US" w:eastAsia="zh-CN"/>
              </w:rPr>
              <w:t>来源</w:t>
            </w:r>
          </w:p>
        </w:tc>
        <w:tc>
          <w:tcPr>
            <w:tcW w:w="1199" w:type="dxa"/>
            <w:vAlign w:val="center"/>
          </w:tcPr>
          <w:p w14:paraId="38D79235">
            <w:pPr>
              <w:pStyle w:val="22"/>
              <w:bidi w:val="0"/>
              <w:jc w:val="center"/>
              <w:rPr>
                <w:rFonts w:hint="default" w:ascii="黑体" w:hAnsi="黑体" w:eastAsia="黑体" w:cs="黑体"/>
                <w:b w:val="0"/>
                <w:bCs w:val="0"/>
                <w:sz w:val="24"/>
                <w:szCs w:val="24"/>
                <w:lang w:val="en-US" w:eastAsia="zh-CN"/>
              </w:rPr>
            </w:pPr>
            <w:r>
              <w:rPr>
                <w:rFonts w:hint="default" w:ascii="黑体" w:hAnsi="黑体" w:eastAsia="黑体" w:cs="黑体"/>
                <w:b w:val="0"/>
                <w:bCs w:val="0"/>
                <w:sz w:val="24"/>
                <w:szCs w:val="24"/>
                <w:lang w:val="en-US" w:eastAsia="zh-CN"/>
              </w:rPr>
              <w:t>风险描述</w:t>
            </w:r>
          </w:p>
        </w:tc>
        <w:tc>
          <w:tcPr>
            <w:tcW w:w="2700" w:type="dxa"/>
            <w:vAlign w:val="center"/>
          </w:tcPr>
          <w:p w14:paraId="09D3812E">
            <w:pPr>
              <w:pStyle w:val="22"/>
              <w:bidi w:val="0"/>
              <w:jc w:val="center"/>
              <w:rPr>
                <w:rFonts w:hint="default" w:ascii="黑体" w:hAnsi="黑体" w:eastAsia="黑体" w:cs="黑体"/>
                <w:b w:val="0"/>
                <w:bCs w:val="0"/>
                <w:sz w:val="24"/>
                <w:szCs w:val="24"/>
                <w:lang w:val="en-US" w:eastAsia="zh-CN"/>
              </w:rPr>
            </w:pPr>
            <w:r>
              <w:rPr>
                <w:rFonts w:hint="default" w:ascii="黑体" w:hAnsi="黑体" w:eastAsia="黑体" w:cs="黑体"/>
                <w:b w:val="0"/>
                <w:bCs w:val="0"/>
                <w:sz w:val="24"/>
                <w:szCs w:val="24"/>
                <w:lang w:val="en-US" w:eastAsia="zh-CN"/>
              </w:rPr>
              <w:t>主要影响</w:t>
            </w:r>
          </w:p>
        </w:tc>
        <w:tc>
          <w:tcPr>
            <w:tcW w:w="3014" w:type="dxa"/>
            <w:vAlign w:val="center"/>
          </w:tcPr>
          <w:p w14:paraId="770DDF81">
            <w:pPr>
              <w:pStyle w:val="22"/>
              <w:bidi w:val="0"/>
              <w:jc w:val="center"/>
              <w:rPr>
                <w:rFonts w:hint="default" w:ascii="黑体" w:hAnsi="黑体" w:eastAsia="黑体" w:cs="黑体"/>
                <w:b w:val="0"/>
                <w:bCs w:val="0"/>
                <w:sz w:val="24"/>
                <w:szCs w:val="24"/>
                <w:lang w:val="en-US" w:eastAsia="zh-CN"/>
              </w:rPr>
            </w:pPr>
            <w:r>
              <w:rPr>
                <w:rFonts w:hint="default" w:ascii="黑体" w:hAnsi="黑体" w:eastAsia="黑体" w:cs="黑体"/>
                <w:b w:val="0"/>
                <w:bCs w:val="0"/>
                <w:sz w:val="24"/>
                <w:szCs w:val="24"/>
                <w:lang w:val="en-US" w:eastAsia="zh-CN"/>
              </w:rPr>
              <w:t>应对措施</w:t>
            </w:r>
          </w:p>
        </w:tc>
      </w:tr>
      <w:tr w14:paraId="0DFE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3" w:type="dxa"/>
            <w:vAlign w:val="center"/>
          </w:tcPr>
          <w:p w14:paraId="1D98AA40">
            <w:pPr>
              <w:pStyle w:val="22"/>
              <w:bidi w:val="0"/>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短期风险</w:t>
            </w:r>
          </w:p>
        </w:tc>
        <w:tc>
          <w:tcPr>
            <w:tcW w:w="1199" w:type="dxa"/>
            <w:vAlign w:val="center"/>
          </w:tcPr>
          <w:p w14:paraId="27C4B2D2">
            <w:pPr>
              <w:pStyle w:val="22"/>
              <w:bidi w:val="0"/>
              <w:jc w:val="center"/>
              <w:rPr>
                <w:rFonts w:hint="default" w:ascii="仿宋_GB2312" w:hAnsi="仿宋_GB2312" w:eastAsia="仿宋_GB2312" w:cs="仿宋_GB2312"/>
                <w:b w:val="0"/>
                <w:bCs w:val="0"/>
                <w:sz w:val="24"/>
                <w:szCs w:val="24"/>
                <w:lang w:val="en-US" w:eastAsia="zh-CN"/>
              </w:rPr>
            </w:pPr>
            <w:r>
              <w:rPr>
                <w:rFonts w:hint="default" w:ascii="仿宋_GB2312" w:hAnsi="仿宋_GB2312" w:eastAsia="仿宋_GB2312" w:cs="仿宋_GB2312"/>
                <w:b w:val="0"/>
                <w:bCs w:val="0"/>
                <w:sz w:val="24"/>
                <w:szCs w:val="24"/>
                <w:lang w:val="en-US" w:eastAsia="zh-CN"/>
              </w:rPr>
              <w:t>暴雨、台风等极端天气</w:t>
            </w:r>
          </w:p>
        </w:tc>
        <w:tc>
          <w:tcPr>
            <w:tcW w:w="2700" w:type="dxa"/>
            <w:vAlign w:val="center"/>
          </w:tcPr>
          <w:p w14:paraId="57AD3E69">
            <w:pPr>
              <w:pStyle w:val="22"/>
              <w:bidi w:val="0"/>
              <w:jc w:val="left"/>
              <w:rPr>
                <w:rFonts w:hint="default" w:ascii="仿宋_GB2312" w:hAnsi="仿宋_GB2312" w:eastAsia="仿宋_GB2312" w:cs="仿宋_GB2312"/>
                <w:b w:val="0"/>
                <w:bCs w:val="0"/>
                <w:sz w:val="24"/>
                <w:szCs w:val="24"/>
                <w:lang w:val="en-US" w:eastAsia="zh-CN"/>
              </w:rPr>
            </w:pPr>
            <w:r>
              <w:rPr>
                <w:rFonts w:hint="default" w:ascii="仿宋_GB2312" w:hAnsi="仿宋_GB2312" w:eastAsia="仿宋_GB2312" w:cs="仿宋_GB2312"/>
                <w:b w:val="0"/>
                <w:bCs w:val="0"/>
                <w:sz w:val="24"/>
                <w:szCs w:val="24"/>
                <w:lang w:val="en-US" w:eastAsia="zh-CN"/>
              </w:rPr>
              <w:t>极端天气可能导致本行营业网点、自助银行、办公场所等基础设施受损，引发业务中断或财物损失，同时可能对员工通勤安全及健康构成威胁。</w:t>
            </w:r>
          </w:p>
        </w:tc>
        <w:tc>
          <w:tcPr>
            <w:tcW w:w="3014" w:type="dxa"/>
            <w:vMerge w:val="restart"/>
            <w:vAlign w:val="center"/>
          </w:tcPr>
          <w:p w14:paraId="10D53BCE">
            <w:pPr>
              <w:pStyle w:val="22"/>
              <w:numPr>
                <w:ilvl w:val="0"/>
                <w:numId w:val="0"/>
              </w:numPr>
              <w:bidi w:val="0"/>
              <w:jc w:val="left"/>
              <w:rPr>
                <w:rFonts w:hint="default" w:ascii="仿宋_GB2312" w:hAnsi="仿宋_GB2312" w:eastAsia="仿宋_GB2312" w:cs="仿宋_GB2312"/>
                <w:b w:val="0"/>
                <w:bCs w:val="0"/>
                <w:sz w:val="24"/>
                <w:szCs w:val="24"/>
                <w:lang w:val="en-US" w:eastAsia="zh-CN"/>
              </w:rPr>
            </w:pPr>
            <w:r>
              <w:rPr>
                <w:rFonts w:hint="default" w:ascii="仿宋_GB2312" w:hAnsi="仿宋_GB2312" w:eastAsia="仿宋_GB2312" w:cs="仿宋_GB2312"/>
                <w:b w:val="0"/>
                <w:bCs w:val="0"/>
                <w:sz w:val="24"/>
                <w:szCs w:val="24"/>
                <w:lang w:val="en-US" w:eastAsia="zh-CN"/>
              </w:rPr>
              <w:t>1.密切关注台风、洪涝等影响业务连续性的极端天气，完善应急预案体系，在确保员工安全的前提下统筹安排网点运营。</w:t>
            </w:r>
            <w:r>
              <w:rPr>
                <w:rFonts w:hint="default" w:ascii="仿宋_GB2312" w:hAnsi="仿宋_GB2312" w:eastAsia="仿宋_GB2312" w:cs="仿宋_GB2312"/>
                <w:b w:val="0"/>
                <w:bCs w:val="0"/>
                <w:sz w:val="24"/>
                <w:szCs w:val="24"/>
                <w:lang w:val="en-US" w:eastAsia="zh-CN"/>
              </w:rPr>
              <w:br w:type="textWrapping"/>
            </w:r>
            <w:r>
              <w:rPr>
                <w:rFonts w:hint="default" w:ascii="仿宋_GB2312" w:hAnsi="仿宋_GB2312" w:eastAsia="仿宋_GB2312" w:cs="仿宋_GB2312"/>
                <w:b w:val="0"/>
                <w:bCs w:val="0"/>
                <w:sz w:val="24"/>
                <w:szCs w:val="24"/>
                <w:lang w:val="en-US" w:eastAsia="zh-CN"/>
              </w:rPr>
              <w:t>2.针对气候敏感型行业（如制造、农林牧渔等），系统收集历史极端气候事件及同期相关授信业务违约数据，探索构建情景分析或压力测试框架，逐步量化气候异常变化对本行信贷资产及财务状况的潜在冲击，为前瞻性风险应对提供依据。</w:t>
            </w:r>
            <w:r>
              <w:rPr>
                <w:rFonts w:hint="default" w:ascii="仿宋_GB2312" w:hAnsi="仿宋_GB2312" w:eastAsia="仿宋_GB2312" w:cs="仿宋_GB2312"/>
                <w:b w:val="0"/>
                <w:bCs w:val="0"/>
                <w:sz w:val="24"/>
                <w:szCs w:val="24"/>
                <w:lang w:val="en-US" w:eastAsia="zh-CN"/>
              </w:rPr>
              <w:br w:type="textWrapping"/>
            </w:r>
            <w:r>
              <w:rPr>
                <w:rFonts w:hint="default" w:ascii="仿宋_GB2312" w:hAnsi="仿宋_GB2312" w:eastAsia="仿宋_GB2312" w:cs="仿宋_GB2312"/>
                <w:b w:val="0"/>
                <w:bCs w:val="0"/>
                <w:sz w:val="24"/>
                <w:szCs w:val="24"/>
                <w:lang w:val="en-US" w:eastAsia="zh-CN"/>
              </w:rPr>
              <w:t>3.将环境气候因素纳入授信审批全流程，强化源头风险管控。</w:t>
            </w:r>
          </w:p>
        </w:tc>
      </w:tr>
      <w:tr w14:paraId="03059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3" w:type="dxa"/>
            <w:vAlign w:val="center"/>
          </w:tcPr>
          <w:p w14:paraId="0825D51A">
            <w:pPr>
              <w:pStyle w:val="22"/>
              <w:bidi w:val="0"/>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长期风险</w:t>
            </w:r>
          </w:p>
        </w:tc>
        <w:tc>
          <w:tcPr>
            <w:tcW w:w="1199" w:type="dxa"/>
            <w:vAlign w:val="center"/>
          </w:tcPr>
          <w:p w14:paraId="41A7A3D0">
            <w:pPr>
              <w:pStyle w:val="22"/>
              <w:bidi w:val="0"/>
              <w:jc w:val="center"/>
              <w:rPr>
                <w:rFonts w:hint="default" w:ascii="仿宋_GB2312" w:hAnsi="仿宋_GB2312" w:eastAsia="仿宋_GB2312" w:cs="仿宋_GB2312"/>
                <w:b w:val="0"/>
                <w:bCs w:val="0"/>
                <w:sz w:val="24"/>
                <w:szCs w:val="24"/>
                <w:lang w:val="en-US" w:eastAsia="zh-CN"/>
              </w:rPr>
            </w:pPr>
            <w:r>
              <w:rPr>
                <w:rFonts w:hint="default" w:ascii="仿宋_GB2312" w:hAnsi="仿宋_GB2312" w:eastAsia="仿宋_GB2312" w:cs="仿宋_GB2312"/>
                <w:b w:val="0"/>
                <w:bCs w:val="0"/>
                <w:sz w:val="24"/>
                <w:szCs w:val="24"/>
                <w:lang w:val="en-US" w:eastAsia="zh-CN"/>
              </w:rPr>
              <w:t>自然风险</w:t>
            </w:r>
          </w:p>
        </w:tc>
        <w:tc>
          <w:tcPr>
            <w:tcW w:w="2700" w:type="dxa"/>
            <w:vAlign w:val="center"/>
          </w:tcPr>
          <w:p w14:paraId="1453900C">
            <w:pPr>
              <w:pStyle w:val="22"/>
              <w:bidi w:val="0"/>
              <w:jc w:val="left"/>
              <w:rPr>
                <w:rFonts w:hint="default" w:ascii="仿宋_GB2312" w:hAnsi="仿宋_GB2312" w:eastAsia="仿宋_GB2312" w:cs="仿宋_GB2312"/>
                <w:b w:val="0"/>
                <w:bCs w:val="0"/>
                <w:sz w:val="24"/>
                <w:szCs w:val="24"/>
                <w:lang w:val="en-US" w:eastAsia="zh-CN"/>
              </w:rPr>
            </w:pPr>
            <w:r>
              <w:rPr>
                <w:rFonts w:hint="default" w:ascii="仿宋_GB2312" w:hAnsi="仿宋_GB2312" w:eastAsia="仿宋_GB2312" w:cs="仿宋_GB2312"/>
                <w:b w:val="0"/>
                <w:bCs w:val="0"/>
                <w:sz w:val="24"/>
                <w:szCs w:val="24"/>
                <w:lang w:val="en-US" w:eastAsia="zh-CN"/>
              </w:rPr>
              <w:t>授信客户因自然风险遭受财产损失或运营中断，偿贷能力下降，可能间接传导影响本行资产质量和经营收益。</w:t>
            </w:r>
          </w:p>
        </w:tc>
        <w:tc>
          <w:tcPr>
            <w:tcW w:w="3014" w:type="dxa"/>
            <w:vMerge w:val="continue"/>
            <w:vAlign w:val="center"/>
          </w:tcPr>
          <w:p w14:paraId="70897397">
            <w:pPr>
              <w:pStyle w:val="22"/>
              <w:bidi w:val="0"/>
              <w:jc w:val="left"/>
              <w:rPr>
                <w:rFonts w:hint="default" w:ascii="仿宋_GB2312" w:hAnsi="仿宋_GB2312" w:eastAsia="仿宋_GB2312" w:cs="仿宋_GB2312"/>
                <w:b w:val="0"/>
                <w:bCs w:val="0"/>
                <w:sz w:val="24"/>
                <w:szCs w:val="24"/>
                <w:lang w:val="en-US" w:eastAsia="zh-CN"/>
              </w:rPr>
            </w:pPr>
          </w:p>
        </w:tc>
      </w:tr>
    </w:tbl>
    <w:p w14:paraId="596464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000000" w:themeColor="text1"/>
          <w:highlight w:val="none"/>
          <w:lang w:val="en-US" w:eastAsia="zh-CN"/>
          <w14:textFill>
            <w14:solidFill>
              <w14:schemeClr w14:val="tx1"/>
            </w14:solidFill>
          </w14:textFill>
        </w:rPr>
      </w:pPr>
      <w:bookmarkStart w:id="30" w:name="_Toc11709"/>
      <w:bookmarkStart w:id="31" w:name="_Toc7678"/>
      <w:r>
        <w:rPr>
          <w:rFonts w:hint="eastAsia" w:ascii="仿宋_GB2312" w:hAnsi="仿宋_GB2312" w:eastAsia="仿宋_GB2312" w:cs="仿宋_GB2312"/>
          <w:b w:val="0"/>
          <w:bCs/>
          <w:color w:val="000000" w:themeColor="text1"/>
          <w:highlight w:val="none"/>
          <w:lang w:val="en-US" w:eastAsia="zh-CN"/>
          <w14:textFill>
            <w14:solidFill>
              <w14:schemeClr w14:val="tx1"/>
            </w14:solidFill>
          </w14:textFill>
        </w:rPr>
        <w:t>本行在面对这些环境风险时，也会遇到新的发展机遇，具体来说：</w:t>
      </w:r>
    </w:p>
    <w:p w14:paraId="5170D1E3">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color w:val="000000" w:themeColor="text1"/>
          <w:highlight w:val="none"/>
          <w:lang w:val="en-US" w:eastAsia="zh-CN"/>
          <w14:textFill>
            <w14:solidFill>
              <w14:schemeClr w14:val="tx1"/>
            </w14:solidFill>
          </w14:textFill>
        </w:rPr>
        <w:t>1.降低运营成本。通过推广节能降耗技术、优化办公流程和践行绿色运营理念，持续压减化石能源消耗总量，有效降低日常运营支出，实现降本增效与节能减排的协同推进。</w:t>
      </w:r>
    </w:p>
    <w:p w14:paraId="5C944534">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color w:val="000000" w:themeColor="text1"/>
          <w:highlight w:val="none"/>
          <w:lang w:val="en-US" w:eastAsia="zh-CN"/>
          <w14:textFill>
            <w14:solidFill>
              <w14:schemeClr w14:val="tx1"/>
            </w14:solidFill>
          </w14:textFill>
        </w:rPr>
        <w:t>2.扩展绿色产品与服务。紧跟绿色低碳转型趋势，持续加大绿色金融与转型金融产品研发力度，丰富产品服务体系，精准对接客户多元化需求，增强市场竞争力，助力经济社会绿色低碳发展。</w:t>
      </w:r>
    </w:p>
    <w:p w14:paraId="133199BF">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color w:val="000000" w:themeColor="text1"/>
          <w:highlight w:val="none"/>
          <w:lang w:val="en-US" w:eastAsia="zh-CN"/>
          <w14:textFill>
            <w14:solidFill>
              <w14:schemeClr w14:val="tx1"/>
            </w14:solidFill>
          </w14:textFill>
        </w:rPr>
        <w:t>3.提升企业形象。积极响应碳达峰、碳中和“1+N”政策体系要求，主动应对环境和气候风险挑战，不仅在运营层面有效规避潜在损失，更有助于赢得社会公众、客户及投资者等利益相关方的广泛认可与信任，持续提升本行社会形象和品牌价值。</w:t>
      </w:r>
    </w:p>
    <w:p w14:paraId="6DDECE1F">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20" w:lineRule="exact"/>
        <w:ind w:left="0" w:leftChars="0" w:firstLine="0" w:firstLineChars="0"/>
        <w:jc w:val="center"/>
        <w:textAlignment w:val="auto"/>
        <w:rPr>
          <w:rFonts w:hint="default" w:ascii="黑体" w:hAnsi="黑体" w:eastAsia="黑体" w:cs="黑体"/>
          <w:color w:val="000000" w:themeColor="text1"/>
          <w:highlight w:val="none"/>
          <w:lang w:val="en-US" w:eastAsia="zh-CN"/>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 xml:space="preserve">第七部分 </w:t>
      </w:r>
      <w:r>
        <w:rPr>
          <w:rFonts w:hint="eastAsia" w:ascii="黑体" w:hAnsi="黑体" w:eastAsia="黑体" w:cs="黑体"/>
          <w:color w:val="000000" w:themeColor="text1"/>
          <w:highlight w:val="none"/>
          <w:lang w:val="en-US" w:eastAsia="zh-CN"/>
          <w14:textFill>
            <w14:solidFill>
              <w14:schemeClr w14:val="tx1"/>
            </w14:solidFill>
          </w14:textFill>
        </w:rPr>
        <w:t>本行</w:t>
      </w:r>
      <w:r>
        <w:rPr>
          <w:rFonts w:hint="default" w:ascii="黑体" w:hAnsi="黑体" w:eastAsia="黑体" w:cs="黑体"/>
          <w:color w:val="000000" w:themeColor="text1"/>
          <w:highlight w:val="none"/>
          <w:lang w:val="en-US" w:eastAsia="zh-CN"/>
          <w14:textFill>
            <w14:solidFill>
              <w14:schemeClr w14:val="tx1"/>
            </w14:solidFill>
          </w14:textFill>
        </w:rPr>
        <w:t>投融资所产生的环境影响</w:t>
      </w:r>
      <w:bookmarkEnd w:id="30"/>
      <w:bookmarkEnd w:id="31"/>
    </w:p>
    <w:p w14:paraId="64DB0BF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黑体" w:hAnsi="黑体" w:eastAsia="黑体" w:cs="黑体"/>
          <w:color w:val="000000" w:themeColor="text1"/>
          <w:highlight w:val="none"/>
          <w:lang w:val="en-US" w:eastAsia="zh-CN"/>
          <w14:textFill>
            <w14:solidFill>
              <w14:schemeClr w14:val="tx1"/>
            </w14:solidFill>
          </w14:textFill>
        </w:rPr>
        <w:t>（一）</w:t>
      </w:r>
      <w:r>
        <w:rPr>
          <w:rFonts w:hint="eastAsia" w:ascii="黑体" w:hAnsi="黑体" w:eastAsia="黑体" w:cs="黑体"/>
          <w:b w:val="0"/>
          <w:bCs/>
          <w:color w:val="000000" w:themeColor="text1"/>
          <w:szCs w:val="32"/>
          <w:highlight w:val="none"/>
          <w:lang w:val="en-US" w:eastAsia="zh-CN"/>
          <w14:textFill>
            <w14:solidFill>
              <w14:schemeClr w14:val="tx1"/>
            </w14:solidFill>
          </w14:textFill>
        </w:rPr>
        <w:t>本行投融资活动产生的环境影响</w:t>
      </w:r>
    </w:p>
    <w:p w14:paraId="5B6FCB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b/>
          <w:bCs/>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1.绿色投融资活动的环境效益</w:t>
      </w:r>
    </w:p>
    <w:p w14:paraId="4BAF82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themeColor="text1"/>
          <w:highlight w:val="none"/>
          <w:lang w:val="en-US" w:eastAsia="zh-CN"/>
          <w14:textFill>
            <w14:solidFill>
              <w14:schemeClr w14:val="tx1"/>
            </w14:solidFill>
          </w14:textFill>
        </w:rPr>
      </w:pPr>
      <w:r>
        <w:rPr>
          <w:rFonts w:hint="default" w:ascii="仿宋_GB2312" w:hAnsi="仿宋_GB2312" w:eastAsia="仿宋_GB2312" w:cs="仿宋_GB2312"/>
          <w:color w:val="000000" w:themeColor="text1"/>
          <w:highlight w:val="none"/>
          <w:lang w:val="en-US" w:eastAsia="zh-CN"/>
          <w14:textFill>
            <w14:solidFill>
              <w14:schemeClr w14:val="tx1"/>
            </w14:solidFill>
          </w14:textFill>
        </w:rPr>
        <w:t>截至报告期末，本行</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各项</w:t>
      </w:r>
      <w:r>
        <w:rPr>
          <w:rFonts w:hint="default" w:ascii="仿宋_GB2312" w:hAnsi="仿宋_GB2312" w:eastAsia="仿宋_GB2312" w:cs="仿宋_GB2312"/>
          <w:color w:val="000000" w:themeColor="text1"/>
          <w:highlight w:val="none"/>
          <w:lang w:val="en-US" w:eastAsia="zh-CN"/>
          <w14:textFill>
            <w14:solidFill>
              <w14:schemeClr w14:val="tx1"/>
            </w14:solidFill>
          </w14:textFill>
        </w:rPr>
        <w:t>贷款余额</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449.97</w:t>
      </w:r>
      <w:r>
        <w:rPr>
          <w:rFonts w:hint="default" w:ascii="仿宋_GB2312" w:hAnsi="仿宋_GB2312" w:eastAsia="仿宋_GB2312" w:cs="仿宋_GB2312"/>
          <w:color w:val="000000" w:themeColor="text1"/>
          <w:highlight w:val="none"/>
          <w:lang w:val="en-US" w:eastAsia="zh-CN"/>
          <w14:textFill>
            <w14:solidFill>
              <w14:schemeClr w14:val="tx1"/>
            </w14:solidFill>
          </w14:textFill>
        </w:rPr>
        <w:t>亿元，其中绿色贷款余额</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11.87</w:t>
      </w:r>
      <w:r>
        <w:rPr>
          <w:rFonts w:hint="default" w:ascii="仿宋_GB2312" w:hAnsi="仿宋_GB2312" w:eastAsia="仿宋_GB2312" w:cs="仿宋_GB2312"/>
          <w:color w:val="000000" w:themeColor="text1"/>
          <w:highlight w:val="none"/>
          <w:lang w:val="en-US" w:eastAsia="zh-CN"/>
          <w14:textFill>
            <w14:solidFill>
              <w14:schemeClr w14:val="tx1"/>
            </w14:solidFill>
          </w14:textFill>
        </w:rPr>
        <w:t>亿元</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，较上年增加3.07亿元，增幅34.93%，高于各项贷款增速26.2个百分点</w:t>
      </w:r>
      <w:r>
        <w:rPr>
          <w:rFonts w:hint="default" w:ascii="仿宋_GB2312" w:hAnsi="仿宋_GB2312" w:eastAsia="仿宋_GB2312" w:cs="仿宋_GB2312"/>
          <w:color w:val="000000" w:themeColor="text1"/>
          <w:highlight w:val="none"/>
          <w:lang w:val="en-US" w:eastAsia="zh-CN"/>
          <w14:textFill>
            <w14:solidFill>
              <w14:schemeClr w14:val="tx1"/>
            </w14:solidFill>
          </w14:textFill>
        </w:rPr>
        <w:t>。绿色信贷投向</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主要</w:t>
      </w:r>
      <w:r>
        <w:rPr>
          <w:rFonts w:hint="default" w:ascii="仿宋_GB2312" w:hAnsi="仿宋_GB2312" w:eastAsia="仿宋_GB2312" w:cs="仿宋_GB2312"/>
          <w:color w:val="000000" w:themeColor="text1"/>
          <w:highlight w:val="none"/>
          <w:lang w:val="en-US" w:eastAsia="zh-CN"/>
          <w14:textFill>
            <w14:solidFill>
              <w14:schemeClr w14:val="tx1"/>
            </w14:solidFill>
          </w14:textFill>
        </w:rPr>
        <w:t>分布在节能环保产业、清洁生产产业、清洁能源产业、生态环境产业和基础设施绿色升级产业。本行202</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5</w:t>
      </w:r>
      <w:r>
        <w:rPr>
          <w:rFonts w:hint="default" w:ascii="仿宋_GB2312" w:hAnsi="仿宋_GB2312" w:eastAsia="仿宋_GB2312" w:cs="仿宋_GB2312"/>
          <w:color w:val="000000" w:themeColor="text1"/>
          <w:highlight w:val="none"/>
          <w:lang w:val="en-US" w:eastAsia="zh-CN"/>
          <w14:textFill>
            <w14:solidFill>
              <w14:schemeClr w14:val="tx1"/>
            </w14:solidFill>
          </w14:textFill>
        </w:rPr>
        <w:t>年绿色信贷投向领域具体如下表：</w:t>
      </w:r>
    </w:p>
    <w:tbl>
      <w:tblPr>
        <w:tblStyle w:val="17"/>
        <w:tblW w:w="86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73"/>
        <w:gridCol w:w="2028"/>
        <w:gridCol w:w="3794"/>
        <w:gridCol w:w="1200"/>
      </w:tblGrid>
      <w:tr w14:paraId="2BDEE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2" w:hRule="atLeast"/>
        </w:trPr>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10BD1">
            <w:pPr>
              <w:keepNext w:val="0"/>
              <w:keepLines w:val="0"/>
              <w:widowControl/>
              <w:suppressLineNumbers w:val="0"/>
              <w:ind w:left="0" w:leftChars="0" w:firstLine="240" w:firstLineChars="100"/>
              <w:jc w:val="both"/>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一级项目</w:t>
            </w:r>
          </w:p>
        </w:tc>
        <w:tc>
          <w:tcPr>
            <w:tcW w:w="2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DD1CF">
            <w:pPr>
              <w:keepNext w:val="0"/>
              <w:keepLines w:val="0"/>
              <w:widowControl/>
              <w:suppressLineNumbers w:val="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二级项目</w:t>
            </w: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856E3">
            <w:pPr>
              <w:keepNext w:val="0"/>
              <w:keepLines w:val="0"/>
              <w:widowControl/>
              <w:suppressLineNumbers w:val="0"/>
              <w:ind w:firstLine="1200" w:firstLineChars="50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三级项目</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C02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黑体" w:hAnsi="黑体" w:eastAsia="黑体" w:cs="黑体"/>
                <w:b w:val="0"/>
                <w:bCs w:val="0"/>
                <w:i w:val="0"/>
                <w:iCs w:val="0"/>
                <w:color w:val="000000"/>
                <w:kern w:val="0"/>
                <w:sz w:val="22"/>
                <w:szCs w:val="22"/>
                <w:u w:val="none"/>
                <w:lang w:val="en-US" w:eastAsia="zh-CN" w:bidi="ar"/>
              </w:rPr>
              <w:t>贷款余额</w:t>
            </w:r>
            <w:r>
              <w:rPr>
                <w:rFonts w:hint="eastAsia" w:ascii="黑体" w:hAnsi="黑体" w:eastAsia="黑体" w:cs="黑体"/>
                <w:b w:val="0"/>
                <w:bCs w:val="0"/>
                <w:i w:val="0"/>
                <w:iCs w:val="0"/>
                <w:color w:val="000000"/>
                <w:kern w:val="0"/>
                <w:sz w:val="22"/>
                <w:szCs w:val="22"/>
                <w:u w:val="none"/>
                <w:lang w:val="en-US" w:eastAsia="zh-CN" w:bidi="ar"/>
              </w:rPr>
              <w:br w:type="textWrapping"/>
            </w:r>
            <w:r>
              <w:rPr>
                <w:rFonts w:hint="eastAsia" w:ascii="黑体" w:hAnsi="黑体" w:eastAsia="黑体" w:cs="黑体"/>
                <w:b w:val="0"/>
                <w:bCs w:val="0"/>
                <w:i w:val="0"/>
                <w:iCs w:val="0"/>
                <w:color w:val="000000"/>
                <w:kern w:val="0"/>
                <w:sz w:val="22"/>
                <w:szCs w:val="22"/>
                <w:u w:val="none"/>
                <w:lang w:val="en-US" w:eastAsia="zh-CN" w:bidi="ar"/>
              </w:rPr>
              <w:t>（万元）</w:t>
            </w:r>
          </w:p>
        </w:tc>
      </w:tr>
      <w:tr w14:paraId="69F4A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67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11B17">
            <w:pPr>
              <w:keepNext w:val="0"/>
              <w:keepLines w:val="0"/>
              <w:widowControl/>
              <w:suppressLineNumbers w:val="0"/>
              <w:ind w:left="0" w:leftChars="0" w:firstLine="0" w:firstLineChars="0"/>
              <w:jc w:val="left"/>
              <w:textAlignment w:val="center"/>
              <w:rPr>
                <w:rFonts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1节能降碳产业</w:t>
            </w:r>
          </w:p>
        </w:tc>
        <w:tc>
          <w:tcPr>
            <w:tcW w:w="2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FF56C9">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1.1 高效节能装备制造</w:t>
            </w: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CBBF73">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1.1.6 节能型气体压缩设备制造</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01C2D">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2400</w:t>
            </w:r>
          </w:p>
        </w:tc>
      </w:tr>
      <w:tr w14:paraId="41474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26BB1">
            <w:pPr>
              <w:jc w:val="left"/>
              <w:rPr>
                <w:rFonts w:hint="eastAsia" w:ascii="仿宋_GB2312" w:hAnsi="宋体" w:eastAsia="仿宋_GB2312" w:cs="仿宋_GB2312"/>
                <w:i w:val="0"/>
                <w:iCs w:val="0"/>
                <w:color w:val="000000"/>
                <w:sz w:val="22"/>
                <w:szCs w:val="22"/>
                <w:u w:val="none"/>
              </w:rPr>
            </w:pPr>
          </w:p>
        </w:tc>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D0D33">
            <w:pPr>
              <w:jc w:val="left"/>
              <w:rPr>
                <w:rFonts w:hint="eastAsia" w:ascii="仿宋_GB2312" w:hAnsi="宋体" w:eastAsia="仿宋_GB2312" w:cs="仿宋_GB2312"/>
                <w:i w:val="0"/>
                <w:iCs w:val="0"/>
                <w:color w:val="000000"/>
                <w:sz w:val="22"/>
                <w:szCs w:val="22"/>
                <w:u w:val="none"/>
              </w:rPr>
            </w:pP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32971">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1.1.7 节能型电动机、微特电机制造</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0D468">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390</w:t>
            </w:r>
          </w:p>
        </w:tc>
      </w:tr>
      <w:tr w14:paraId="00400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3B437">
            <w:pPr>
              <w:jc w:val="left"/>
              <w:rPr>
                <w:rFonts w:hint="eastAsia" w:ascii="仿宋_GB2312" w:hAnsi="宋体" w:eastAsia="仿宋_GB2312" w:cs="仿宋_GB2312"/>
                <w:i w:val="0"/>
                <w:iCs w:val="0"/>
                <w:color w:val="000000"/>
                <w:sz w:val="22"/>
                <w:szCs w:val="22"/>
                <w:u w:val="none"/>
              </w:rPr>
            </w:pPr>
          </w:p>
        </w:tc>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0E47D">
            <w:pPr>
              <w:jc w:val="left"/>
              <w:rPr>
                <w:rFonts w:hint="eastAsia" w:ascii="仿宋_GB2312" w:hAnsi="宋体" w:eastAsia="仿宋_GB2312" w:cs="仿宋_GB2312"/>
                <w:i w:val="0"/>
                <w:iCs w:val="0"/>
                <w:color w:val="000000"/>
                <w:sz w:val="22"/>
                <w:szCs w:val="22"/>
                <w:u w:val="none"/>
              </w:rPr>
            </w:pP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75872">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1.1.15 高效照明产品及系统制造</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9B61F">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4700</w:t>
            </w:r>
          </w:p>
        </w:tc>
      </w:tr>
      <w:tr w14:paraId="5DD48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A522B">
            <w:pPr>
              <w:jc w:val="left"/>
              <w:rPr>
                <w:rFonts w:hint="eastAsia" w:ascii="仿宋_GB2312" w:hAnsi="宋体" w:eastAsia="仿宋_GB2312" w:cs="仿宋_GB2312"/>
                <w:i w:val="0"/>
                <w:iCs w:val="0"/>
                <w:color w:val="000000"/>
                <w:sz w:val="22"/>
                <w:szCs w:val="22"/>
                <w:u w:val="none"/>
              </w:rPr>
            </w:pPr>
          </w:p>
        </w:tc>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B0642">
            <w:pPr>
              <w:jc w:val="left"/>
              <w:rPr>
                <w:rFonts w:hint="eastAsia" w:ascii="仿宋_GB2312" w:hAnsi="宋体" w:eastAsia="仿宋_GB2312" w:cs="仿宋_GB2312"/>
                <w:i w:val="0"/>
                <w:iCs w:val="0"/>
                <w:color w:val="000000"/>
                <w:sz w:val="22"/>
                <w:szCs w:val="22"/>
                <w:u w:val="none"/>
              </w:rPr>
            </w:pP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E21E4">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1.1.18 绿色建筑材料制造</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8F7F6">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500</w:t>
            </w:r>
          </w:p>
        </w:tc>
      </w:tr>
      <w:tr w14:paraId="36DF2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3" w:hRule="atLeast"/>
        </w:trPr>
        <w:tc>
          <w:tcPr>
            <w:tcW w:w="1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BC4BF">
            <w:pPr>
              <w:jc w:val="left"/>
              <w:rPr>
                <w:rFonts w:hint="eastAsia" w:ascii="仿宋_GB2312" w:hAnsi="宋体" w:eastAsia="仿宋_GB2312" w:cs="仿宋_GB2312"/>
                <w:i w:val="0"/>
                <w:iCs w:val="0"/>
                <w:color w:val="000000"/>
                <w:sz w:val="22"/>
                <w:szCs w:val="22"/>
                <w:u w:val="none"/>
              </w:rPr>
            </w:pPr>
          </w:p>
        </w:tc>
        <w:tc>
          <w:tcPr>
            <w:tcW w:w="2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99949">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1.2 先进交通装备制造</w:t>
            </w: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1449E">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1.2.1 新能源汽车及关键零部件制造</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D6B2F">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14860</w:t>
            </w:r>
          </w:p>
        </w:tc>
      </w:tr>
      <w:tr w14:paraId="4B5E5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67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8CEFA">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 环境保护产业</w:t>
            </w:r>
          </w:p>
        </w:tc>
        <w:tc>
          <w:tcPr>
            <w:tcW w:w="202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4B808">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2.3 水污染治理</w:t>
            </w: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9B8C3">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2.3.1 水体保护及地下水污染防治</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658C1">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8190</w:t>
            </w:r>
          </w:p>
        </w:tc>
      </w:tr>
      <w:tr w14:paraId="16FEF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55242">
            <w:pPr>
              <w:jc w:val="left"/>
              <w:rPr>
                <w:rFonts w:hint="eastAsia" w:ascii="仿宋_GB2312" w:hAnsi="宋体" w:eastAsia="仿宋_GB2312" w:cs="仿宋_GB2312"/>
                <w:i w:val="0"/>
                <w:iCs w:val="0"/>
                <w:color w:val="000000"/>
                <w:sz w:val="22"/>
                <w:szCs w:val="22"/>
                <w:u w:val="none"/>
              </w:rPr>
            </w:pPr>
          </w:p>
        </w:tc>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6CAF71">
            <w:pPr>
              <w:jc w:val="left"/>
              <w:rPr>
                <w:rFonts w:hint="eastAsia" w:ascii="仿宋_GB2312" w:hAnsi="宋体" w:eastAsia="仿宋_GB2312" w:cs="仿宋_GB2312"/>
                <w:i w:val="0"/>
                <w:iCs w:val="0"/>
                <w:color w:val="000000"/>
                <w:sz w:val="22"/>
                <w:szCs w:val="22"/>
                <w:u w:val="none"/>
              </w:rPr>
            </w:pP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5B223">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2.3.3 城市（含县城）黑臭水体整治</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4340B">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2990</w:t>
            </w:r>
          </w:p>
        </w:tc>
      </w:tr>
      <w:tr w14:paraId="3826B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9" w:hRule="atLeast"/>
        </w:trPr>
        <w:tc>
          <w:tcPr>
            <w:tcW w:w="167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C663F">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 资源循环利用产业</w:t>
            </w:r>
          </w:p>
        </w:tc>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609AB">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3.1 资源循环利用装备制造</w:t>
            </w: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2D371">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3.1.7 废气回收利用装备制造</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DC083">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15</w:t>
            </w:r>
          </w:p>
        </w:tc>
      </w:tr>
      <w:tr w14:paraId="5BD2C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3" w:hRule="atLeast"/>
        </w:trPr>
        <w:tc>
          <w:tcPr>
            <w:tcW w:w="167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79E406">
            <w:pPr>
              <w:jc w:val="left"/>
              <w:rPr>
                <w:rFonts w:hint="eastAsia" w:ascii="仿宋_GB2312" w:hAnsi="宋体" w:eastAsia="仿宋_GB2312" w:cs="仿宋_GB2312"/>
                <w:i w:val="0"/>
                <w:iCs w:val="0"/>
                <w:color w:val="000000"/>
                <w:sz w:val="22"/>
                <w:szCs w:val="22"/>
                <w:u w:val="none"/>
              </w:rPr>
            </w:pPr>
          </w:p>
        </w:tc>
        <w:tc>
          <w:tcPr>
            <w:tcW w:w="20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83D273">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3.2 资源循环利用</w:t>
            </w: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7C83E">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3.2.2 水资源高效及循环利用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9F03C">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1900</w:t>
            </w:r>
          </w:p>
        </w:tc>
      </w:tr>
      <w:tr w14:paraId="291FC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9" w:hRule="atLeast"/>
        </w:trPr>
        <w:tc>
          <w:tcPr>
            <w:tcW w:w="167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BC0430">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 能源绿色低碳转型</w:t>
            </w:r>
          </w:p>
        </w:tc>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89951">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4.1 新能源与清洁能源装备制造</w:t>
            </w: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1A7569">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4.1.2 太阳能利用装备制造</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BD64B">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8300</w:t>
            </w:r>
          </w:p>
        </w:tc>
      </w:tr>
      <w:tr w14:paraId="1DC1F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9" w:hRule="atLeast"/>
        </w:trPr>
        <w:tc>
          <w:tcPr>
            <w:tcW w:w="167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240F5">
            <w:pPr>
              <w:jc w:val="left"/>
              <w:rPr>
                <w:rFonts w:hint="eastAsia" w:ascii="仿宋_GB2312" w:hAnsi="宋体" w:eastAsia="仿宋_GB2312" w:cs="仿宋_GB2312"/>
                <w:i w:val="0"/>
                <w:iCs w:val="0"/>
                <w:color w:val="000000"/>
                <w:sz w:val="22"/>
                <w:szCs w:val="22"/>
                <w:u w:val="none"/>
              </w:rPr>
            </w:pPr>
          </w:p>
        </w:tc>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581B8">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4.3 能源系统安全高效运行</w:t>
            </w: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19D20">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4.3.7 分布式能源工程建设和运营</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22F9E">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8990</w:t>
            </w:r>
          </w:p>
        </w:tc>
      </w:tr>
      <w:tr w14:paraId="7DA55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67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1D3AC">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 生态保护修复和利用</w:t>
            </w:r>
          </w:p>
        </w:tc>
        <w:tc>
          <w:tcPr>
            <w:tcW w:w="202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E030A">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5.1 生态农林牧渔业</w:t>
            </w: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F42122">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5.1.3 绿色农业生产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0B29D">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7390</w:t>
            </w:r>
          </w:p>
        </w:tc>
      </w:tr>
      <w:tr w14:paraId="029EA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67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3CCB7">
            <w:pPr>
              <w:jc w:val="left"/>
              <w:rPr>
                <w:rFonts w:hint="eastAsia" w:ascii="仿宋_GB2312" w:hAnsi="宋体" w:eastAsia="仿宋_GB2312" w:cs="仿宋_GB2312"/>
                <w:i w:val="0"/>
                <w:iCs w:val="0"/>
                <w:color w:val="000000"/>
                <w:sz w:val="22"/>
                <w:szCs w:val="22"/>
                <w:u w:val="none"/>
              </w:rPr>
            </w:pPr>
          </w:p>
        </w:tc>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C9927">
            <w:pPr>
              <w:jc w:val="left"/>
              <w:rPr>
                <w:rFonts w:hint="eastAsia" w:ascii="仿宋_GB2312" w:hAnsi="宋体" w:eastAsia="仿宋_GB2312" w:cs="仿宋_GB2312"/>
                <w:i w:val="0"/>
                <w:iCs w:val="0"/>
                <w:color w:val="000000"/>
                <w:sz w:val="22"/>
                <w:szCs w:val="22"/>
                <w:u w:val="none"/>
              </w:rPr>
            </w:pP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48E46">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5.1.4 有机、绿色等认证农业</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ED335">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3000</w:t>
            </w:r>
          </w:p>
        </w:tc>
      </w:tr>
      <w:tr w14:paraId="7A980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3" w:hRule="atLeast"/>
        </w:trPr>
        <w:tc>
          <w:tcPr>
            <w:tcW w:w="167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53F7A">
            <w:pPr>
              <w:jc w:val="left"/>
              <w:rPr>
                <w:rFonts w:hint="eastAsia" w:ascii="仿宋_GB2312" w:hAnsi="宋体" w:eastAsia="仿宋_GB2312" w:cs="仿宋_GB2312"/>
                <w:i w:val="0"/>
                <w:iCs w:val="0"/>
                <w:color w:val="000000"/>
                <w:sz w:val="22"/>
                <w:szCs w:val="22"/>
                <w:u w:val="none"/>
              </w:rPr>
            </w:pPr>
          </w:p>
        </w:tc>
        <w:tc>
          <w:tcPr>
            <w:tcW w:w="20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594AB8">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5.2 生态保护修复</w:t>
            </w: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35D39">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5.2.12 湿地保护修复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AA42A">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5750</w:t>
            </w:r>
          </w:p>
        </w:tc>
      </w:tr>
      <w:tr w14:paraId="73C3E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67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7C8371">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 基础设施绿色升级</w:t>
            </w:r>
          </w:p>
        </w:tc>
        <w:tc>
          <w:tcPr>
            <w:tcW w:w="2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572BD6">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6.1 建筑节能与绿色建筑</w:t>
            </w: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0153B">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6.1.5 建筑可再生能源应用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C3E4B">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2800</w:t>
            </w:r>
          </w:p>
        </w:tc>
      </w:tr>
      <w:tr w14:paraId="73EC6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67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50108">
            <w:pPr>
              <w:jc w:val="center"/>
              <w:rPr>
                <w:rFonts w:hint="eastAsia" w:ascii="仿宋_GB2312" w:hAnsi="宋体" w:eastAsia="仿宋_GB2312" w:cs="仿宋_GB2312"/>
                <w:i w:val="0"/>
                <w:iCs w:val="0"/>
                <w:color w:val="000000"/>
                <w:sz w:val="22"/>
                <w:szCs w:val="22"/>
                <w:u w:val="none"/>
              </w:rPr>
            </w:pPr>
          </w:p>
        </w:tc>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9769D0">
            <w:pPr>
              <w:jc w:val="left"/>
              <w:rPr>
                <w:rFonts w:hint="eastAsia" w:ascii="仿宋_GB2312" w:hAnsi="宋体" w:eastAsia="仿宋_GB2312" w:cs="仿宋_GB2312"/>
                <w:i w:val="0"/>
                <w:iCs w:val="0"/>
                <w:color w:val="000000"/>
                <w:sz w:val="22"/>
                <w:szCs w:val="22"/>
                <w:u w:val="none"/>
              </w:rPr>
            </w:pP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03D42">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6.1.6 装配式建筑设计和建造</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A4F3A">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12430</w:t>
            </w:r>
          </w:p>
        </w:tc>
      </w:tr>
      <w:tr w14:paraId="50006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67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B968F3">
            <w:pPr>
              <w:jc w:val="center"/>
              <w:rPr>
                <w:rFonts w:hint="eastAsia" w:ascii="仿宋_GB2312" w:hAnsi="宋体" w:eastAsia="仿宋_GB2312" w:cs="仿宋_GB2312"/>
                <w:i w:val="0"/>
                <w:iCs w:val="0"/>
                <w:color w:val="000000"/>
                <w:sz w:val="22"/>
                <w:szCs w:val="22"/>
                <w:u w:val="none"/>
              </w:rPr>
            </w:pPr>
          </w:p>
        </w:tc>
        <w:tc>
          <w:tcPr>
            <w:tcW w:w="20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41983">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6.2 绿色交通</w:t>
            </w: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CAB5B">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6.2.3 充电、换电和加气等设施建设和运营</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A533E">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8290</w:t>
            </w:r>
          </w:p>
        </w:tc>
      </w:tr>
      <w:tr w14:paraId="7FD95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67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BEFFA">
            <w:pPr>
              <w:jc w:val="center"/>
              <w:rPr>
                <w:rFonts w:hint="eastAsia" w:ascii="仿宋_GB2312" w:hAnsi="宋体" w:eastAsia="仿宋_GB2312" w:cs="仿宋_GB2312"/>
                <w:i w:val="0"/>
                <w:iCs w:val="0"/>
                <w:color w:val="000000"/>
                <w:sz w:val="22"/>
                <w:szCs w:val="22"/>
                <w:u w:val="none"/>
              </w:rPr>
            </w:pPr>
          </w:p>
        </w:tc>
        <w:tc>
          <w:tcPr>
            <w:tcW w:w="202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D85CA">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6.4 环境基础设施</w:t>
            </w: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9551A">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6.4.1 园林绿化建设、养护管理和运营</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ACB8A">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5370</w:t>
            </w:r>
          </w:p>
        </w:tc>
      </w:tr>
      <w:tr w14:paraId="2C3BB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67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ADDD5">
            <w:pPr>
              <w:jc w:val="center"/>
              <w:rPr>
                <w:rFonts w:hint="eastAsia" w:ascii="仿宋_GB2312" w:hAnsi="宋体" w:eastAsia="仿宋_GB2312" w:cs="仿宋_GB2312"/>
                <w:i w:val="0"/>
                <w:iCs w:val="0"/>
                <w:color w:val="000000"/>
                <w:sz w:val="22"/>
                <w:szCs w:val="22"/>
                <w:u w:val="none"/>
              </w:rPr>
            </w:pPr>
          </w:p>
        </w:tc>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1617B7">
            <w:pPr>
              <w:jc w:val="left"/>
              <w:rPr>
                <w:rFonts w:hint="eastAsia" w:ascii="仿宋_GB2312" w:hAnsi="宋体" w:eastAsia="仿宋_GB2312" w:cs="仿宋_GB2312"/>
                <w:i w:val="0"/>
                <w:iCs w:val="0"/>
                <w:color w:val="000000"/>
                <w:sz w:val="22"/>
                <w:szCs w:val="22"/>
                <w:u w:val="none"/>
              </w:rPr>
            </w:pP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5247B">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6.4.5 城镇污水收集系统排查改造建设修复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C6A7F">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11850</w:t>
            </w:r>
          </w:p>
        </w:tc>
      </w:tr>
      <w:tr w14:paraId="740AA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trPr>
        <w:tc>
          <w:tcPr>
            <w:tcW w:w="167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5A467">
            <w:pPr>
              <w:jc w:val="center"/>
              <w:rPr>
                <w:rFonts w:hint="eastAsia" w:ascii="仿宋_GB2312" w:hAnsi="宋体" w:eastAsia="仿宋_GB2312" w:cs="仿宋_GB2312"/>
                <w:i w:val="0"/>
                <w:iCs w:val="0"/>
                <w:color w:val="000000"/>
                <w:sz w:val="22"/>
                <w:szCs w:val="22"/>
                <w:u w:val="none"/>
              </w:rPr>
            </w:pPr>
          </w:p>
        </w:tc>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B40FC">
            <w:pPr>
              <w:jc w:val="left"/>
              <w:rPr>
                <w:rFonts w:hint="eastAsia" w:ascii="仿宋_GB2312" w:hAnsi="宋体" w:eastAsia="仿宋_GB2312" w:cs="仿宋_GB2312"/>
                <w:i w:val="0"/>
                <w:iCs w:val="0"/>
                <w:color w:val="000000"/>
                <w:sz w:val="22"/>
                <w:szCs w:val="22"/>
                <w:u w:val="none"/>
              </w:rPr>
            </w:pPr>
          </w:p>
        </w:tc>
        <w:tc>
          <w:tcPr>
            <w:tcW w:w="37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BE3CA">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6.4.7 污水污泥处理处置设施建设和运营</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0839A">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8600</w:t>
            </w:r>
          </w:p>
        </w:tc>
      </w:tr>
    </w:tbl>
    <w:p w14:paraId="0890C7DA">
      <w:pPr>
        <w:pStyle w:val="2"/>
        <w:ind w:left="0" w:leftChars="0" w:firstLine="0" w:firstLineChars="0"/>
        <w:rPr>
          <w:rFonts w:hint="default" w:ascii="仿宋_GB2312" w:hAnsi="仿宋_GB2312" w:eastAsia="仿宋_GB2312" w:cs="仿宋_GB2312"/>
          <w:color w:val="000000" w:themeColor="text1"/>
          <w:highlight w:val="none"/>
          <w:lang w:val="en-US" w:eastAsia="zh-CN"/>
          <w14:textFill>
            <w14:solidFill>
              <w14:schemeClr w14:val="tx1"/>
            </w14:solidFill>
          </w14:textFill>
        </w:rPr>
      </w:pPr>
    </w:p>
    <w:p w14:paraId="22B059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本行绿色信贷余额占比及绿色债券情况如下表：</w:t>
      </w:r>
    </w:p>
    <w:tbl>
      <w:tblPr>
        <w:tblStyle w:val="17"/>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45"/>
        <w:gridCol w:w="3693"/>
        <w:gridCol w:w="1584"/>
      </w:tblGrid>
      <w:tr w14:paraId="3D5A9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jc w:val="center"/>
        </w:trPr>
        <w:tc>
          <w:tcPr>
            <w:tcW w:w="3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1F37A">
            <w:pPr>
              <w:pStyle w:val="22"/>
              <w:bidi w:val="0"/>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指标名称</w:t>
            </w:r>
          </w:p>
        </w:tc>
        <w:tc>
          <w:tcPr>
            <w:tcW w:w="3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E5C8B">
            <w:pPr>
              <w:pStyle w:val="22"/>
              <w:bidi w:val="0"/>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披露细项</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7877B">
            <w:pPr>
              <w:pStyle w:val="22"/>
              <w:bidi w:val="0"/>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披露数据</w:t>
            </w:r>
          </w:p>
        </w:tc>
      </w:tr>
      <w:tr w14:paraId="52D98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2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777B9">
            <w:pPr>
              <w:keepNext w:val="0"/>
              <w:keepLines w:val="0"/>
              <w:widowControl/>
              <w:suppressLineNumbers w:val="0"/>
              <w:spacing w:line="240" w:lineRule="auto"/>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i w:val="0"/>
                <w:iCs w:val="0"/>
                <w:color w:val="000000"/>
                <w:kern w:val="0"/>
                <w:sz w:val="22"/>
                <w:szCs w:val="22"/>
                <w:u w:val="none"/>
                <w:lang w:val="en-US" w:eastAsia="zh-CN" w:bidi="ar"/>
              </w:rPr>
              <w:t>绿色信贷余额及占比</w:t>
            </w:r>
          </w:p>
        </w:tc>
        <w:tc>
          <w:tcPr>
            <w:tcW w:w="3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5A3D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绿色信贷余额（亿元）</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DC24E">
            <w:pPr>
              <w:keepNext w:val="0"/>
              <w:keepLines w:val="0"/>
              <w:widowControl/>
              <w:suppressLineNumbers w:val="0"/>
              <w:spacing w:line="240" w:lineRule="auto"/>
              <w:ind w:left="0" w:leftChars="0" w:firstLine="220" w:firstLineChars="10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11.87</w:t>
            </w:r>
          </w:p>
        </w:tc>
      </w:tr>
      <w:tr w14:paraId="74D89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2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9A0ED">
            <w:pPr>
              <w:spacing w:line="240" w:lineRule="auto"/>
              <w:jc w:val="center"/>
              <w:rPr>
                <w:rFonts w:hint="eastAsia" w:ascii="仿宋_GB2312" w:hAnsi="仿宋_GB2312" w:eastAsia="仿宋_GB2312" w:cs="仿宋_GB2312"/>
                <w:b w:val="0"/>
                <w:bCs w:val="0"/>
                <w:i w:val="0"/>
                <w:iCs w:val="0"/>
                <w:color w:val="000000"/>
                <w:sz w:val="24"/>
                <w:szCs w:val="24"/>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B061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各项贷款余额（亿元）</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8BD01">
            <w:pPr>
              <w:keepNext w:val="0"/>
              <w:keepLines w:val="0"/>
              <w:widowControl/>
              <w:suppressLineNumbers w:val="0"/>
              <w:spacing w:line="240" w:lineRule="auto"/>
              <w:ind w:left="0" w:leftChars="0" w:firstLine="220" w:firstLineChars="10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449.97</w:t>
            </w:r>
          </w:p>
        </w:tc>
      </w:tr>
      <w:tr w14:paraId="5F801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2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CA8A">
            <w:pPr>
              <w:spacing w:line="240" w:lineRule="auto"/>
              <w:jc w:val="center"/>
              <w:rPr>
                <w:rFonts w:hint="eastAsia" w:ascii="仿宋_GB2312" w:hAnsi="仿宋_GB2312" w:eastAsia="仿宋_GB2312" w:cs="仿宋_GB2312"/>
                <w:b w:val="0"/>
                <w:bCs w:val="0"/>
                <w:i w:val="0"/>
                <w:iCs w:val="0"/>
                <w:color w:val="000000"/>
                <w:sz w:val="24"/>
                <w:szCs w:val="24"/>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DA78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绿色信贷占比（%）</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7E6E3">
            <w:pPr>
              <w:keepNext w:val="0"/>
              <w:keepLines w:val="0"/>
              <w:widowControl/>
              <w:suppressLineNumbers w:val="0"/>
              <w:spacing w:line="240" w:lineRule="auto"/>
              <w:ind w:left="0" w:leftChars="0" w:firstLine="220" w:firstLineChars="10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2.64</w:t>
            </w:r>
          </w:p>
        </w:tc>
      </w:tr>
      <w:tr w14:paraId="1FF12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5086">
            <w:pPr>
              <w:keepNext w:val="0"/>
              <w:keepLines w:val="0"/>
              <w:widowControl/>
              <w:suppressLineNumbers w:val="0"/>
              <w:spacing w:line="240" w:lineRule="auto"/>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i w:val="0"/>
                <w:iCs w:val="0"/>
                <w:color w:val="000000"/>
                <w:kern w:val="0"/>
                <w:sz w:val="22"/>
                <w:szCs w:val="22"/>
                <w:u w:val="none"/>
                <w:lang w:val="en-US" w:eastAsia="zh-CN" w:bidi="ar"/>
              </w:rPr>
              <w:t>持有绿色债券余额</w:t>
            </w:r>
          </w:p>
        </w:tc>
        <w:tc>
          <w:tcPr>
            <w:tcW w:w="3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38EB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持有绿色债券余额（亿元）</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0E456">
            <w:pPr>
              <w:keepNext w:val="0"/>
              <w:keepLines w:val="0"/>
              <w:widowControl/>
              <w:suppressLineNumbers w:val="0"/>
              <w:spacing w:line="240" w:lineRule="auto"/>
              <w:ind w:left="0" w:leftChars="0" w:firstLine="220" w:firstLineChars="10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 xml:space="preserve"> 0.3</w:t>
            </w:r>
          </w:p>
        </w:tc>
      </w:tr>
    </w:tbl>
    <w:p w14:paraId="57CB8CA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000000" w:themeColor="text1"/>
          <w:highlight w:val="yellow"/>
          <w:lang w:val="en-US" w:eastAsia="zh-CN"/>
          <w14:textFill>
            <w14:solidFill>
              <w14:schemeClr w14:val="tx1"/>
            </w14:solidFill>
          </w14:textFill>
        </w:rPr>
      </w:pPr>
    </w:p>
    <w:p w14:paraId="57AC3E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default" w:ascii="仿宋_GB2312" w:hAnsi="仿宋_GB2312" w:eastAsia="仿宋_GB2312" w:cs="仿宋_GB2312"/>
          <w:color w:val="000000" w:themeColor="text1"/>
          <w:highlight w:val="none"/>
          <w:lang w:val="en-US" w:eastAsia="zh-CN"/>
          <w14:textFill>
            <w14:solidFill>
              <w14:schemeClr w14:val="tx1"/>
            </w14:solidFill>
          </w14:textFill>
        </w:rPr>
        <w:t>截至报告期末，本行</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绿色项目贷款余额6.05亿元</w:t>
      </w:r>
      <w:r>
        <w:rPr>
          <w:rFonts w:hint="default" w:ascii="仿宋_GB2312" w:hAnsi="仿宋_GB2312" w:eastAsia="仿宋_GB2312" w:cs="仿宋_GB2312"/>
          <w:color w:val="000000" w:themeColor="text1"/>
          <w:highlight w:val="none"/>
          <w:lang w:val="en-US" w:eastAsia="zh-CN"/>
          <w14:textFill>
            <w14:solidFill>
              <w14:schemeClr w14:val="tx1"/>
            </w14:solidFill>
          </w14:textFill>
        </w:rPr>
        <w:t>。本行</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绿色投融资活动产生的环境效益</w:t>
      </w:r>
      <w:r>
        <w:rPr>
          <w:rFonts w:hint="default" w:ascii="仿宋_GB2312" w:hAnsi="仿宋_GB2312" w:eastAsia="仿宋_GB2312" w:cs="仿宋_GB2312"/>
          <w:color w:val="000000" w:themeColor="text1"/>
          <w:highlight w:val="none"/>
          <w:lang w:val="en-US" w:eastAsia="zh-CN"/>
          <w14:textFill>
            <w14:solidFill>
              <w14:schemeClr w14:val="tx1"/>
            </w14:solidFill>
          </w14:textFill>
        </w:rPr>
        <w:t>如下表</w:t>
      </w:r>
      <w:r>
        <w:rPr>
          <w:rStyle w:val="20"/>
          <w:rFonts w:hint="default" w:ascii="仿宋_GB2312" w:hAnsi="仿宋_GB2312" w:eastAsia="仿宋_GB2312" w:cs="仿宋_GB2312"/>
          <w:color w:val="000000" w:themeColor="text1"/>
          <w:highlight w:val="none"/>
          <w:lang w:val="en-US" w:eastAsia="zh-CN"/>
          <w14:textFill>
            <w14:solidFill>
              <w14:schemeClr w14:val="tx1"/>
            </w14:solidFill>
          </w14:textFill>
        </w:rPr>
        <w:footnoteReference w:id="0"/>
      </w:r>
      <w:r>
        <w:rPr>
          <w:rFonts w:hint="eastAsia" w:ascii="仿宋_GB2312" w:hAnsi="仿宋_GB2312" w:eastAsia="仿宋_GB2312" w:cs="仿宋_GB2312"/>
          <w:color w:val="000000" w:themeColor="text1"/>
          <w:highlight w:val="none"/>
          <w:lang w:val="en-US" w:eastAsia="zh-CN"/>
          <w14:textFill>
            <w14:solidFill>
              <w14:schemeClr w14:val="tx1"/>
            </w14:solidFill>
          </w14:textFill>
        </w:rPr>
        <w:t>：</w:t>
      </w:r>
    </w:p>
    <w:tbl>
      <w:tblPr>
        <w:tblStyle w:val="17"/>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58"/>
        <w:gridCol w:w="3709"/>
        <w:gridCol w:w="1552"/>
      </w:tblGrid>
      <w:tr w14:paraId="759E4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3" w:hRule="atLeast"/>
          <w:jc w:val="center"/>
        </w:trPr>
        <w:tc>
          <w:tcPr>
            <w:tcW w:w="3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6DD6F">
            <w:pPr>
              <w:pStyle w:val="23"/>
              <w:numPr>
                <w:ilvl w:val="-1"/>
                <w:numId w:val="0"/>
              </w:numPr>
              <w:bidi w:val="0"/>
              <w:jc w:val="center"/>
              <w:rPr>
                <w:rFonts w:hint="eastAsia" w:ascii="黑体" w:hAnsi="黑体" w:eastAsia="黑体" w:cs="黑体"/>
                <w:b w:val="0"/>
                <w:bCs/>
                <w:color w:val="000000" w:themeColor="text1"/>
                <w:sz w:val="24"/>
                <w:szCs w:val="24"/>
                <w:highlight w:val="none"/>
                <w:lang w:val="en-US" w:eastAsia="zh-CN"/>
                <w14:textFill>
                  <w14:solidFill>
                    <w14:schemeClr w14:val="tx1"/>
                  </w14:solidFill>
                </w14:textFill>
              </w:rPr>
            </w:pPr>
            <w:r>
              <w:rPr>
                <w:rFonts w:hint="default" w:ascii="黑体" w:hAnsi="黑体" w:eastAsia="黑体" w:cs="黑体"/>
                <w:b w:val="0"/>
                <w:bCs/>
                <w:color w:val="000000" w:themeColor="text1"/>
                <w:sz w:val="24"/>
                <w:szCs w:val="24"/>
                <w:highlight w:val="none"/>
                <w14:textFill>
                  <w14:solidFill>
                    <w14:schemeClr w14:val="tx1"/>
                  </w14:solidFill>
                </w14:textFill>
              </w:rPr>
              <w:t>指标名称</w:t>
            </w:r>
          </w:p>
        </w:tc>
        <w:tc>
          <w:tcPr>
            <w:tcW w:w="3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C8177">
            <w:pPr>
              <w:pStyle w:val="23"/>
              <w:numPr>
                <w:ilvl w:val="-1"/>
                <w:numId w:val="0"/>
              </w:numPr>
              <w:bidi w:val="0"/>
              <w:jc w:val="center"/>
              <w:rPr>
                <w:rFonts w:hint="default" w:ascii="黑体" w:hAnsi="黑体" w:eastAsia="黑体" w:cs="黑体"/>
                <w:b w:val="0"/>
                <w:bCs/>
                <w:color w:val="000000" w:themeColor="text1"/>
                <w:sz w:val="24"/>
                <w:szCs w:val="24"/>
                <w:highlight w:val="none"/>
                <w:lang w:val="en-US" w:eastAsia="zh-CN"/>
                <w14:textFill>
                  <w14:solidFill>
                    <w14:schemeClr w14:val="tx1"/>
                  </w14:solidFill>
                </w14:textFill>
              </w:rPr>
            </w:pPr>
            <w:r>
              <w:rPr>
                <w:rFonts w:hint="eastAsia" w:ascii="黑体" w:hAnsi="黑体" w:eastAsia="黑体" w:cs="黑体"/>
                <w:b w:val="0"/>
                <w:bCs w:val="0"/>
                <w:sz w:val="24"/>
                <w:szCs w:val="24"/>
                <w:highlight w:val="none"/>
                <w:shd w:val="clear" w:color="auto" w:fill="auto"/>
                <w:lang w:val="en-US" w:eastAsia="zh-CN"/>
              </w:rPr>
              <w:t>披露细项</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BD615">
            <w:pPr>
              <w:pStyle w:val="23"/>
              <w:numPr>
                <w:ilvl w:val="-1"/>
                <w:numId w:val="0"/>
              </w:numPr>
              <w:bidi w:val="0"/>
              <w:ind w:left="0" w:leftChars="0" w:firstLine="0" w:firstLineChars="0"/>
              <w:jc w:val="center"/>
              <w:rPr>
                <w:rFonts w:hint="default" w:ascii="黑体" w:hAnsi="黑体" w:eastAsia="黑体" w:cs="黑体"/>
                <w:b w:val="0"/>
                <w:bCs/>
                <w:color w:val="000000" w:themeColor="text1"/>
                <w:sz w:val="24"/>
                <w:szCs w:val="24"/>
                <w:highlight w:val="none"/>
                <w:lang w:val="en-US" w:eastAsia="zh-CN"/>
                <w14:textFill>
                  <w14:solidFill>
                    <w14:schemeClr w14:val="tx1"/>
                  </w14:solidFill>
                </w14:textFill>
              </w:rPr>
            </w:pPr>
            <w:r>
              <w:rPr>
                <w:rFonts w:hint="eastAsia" w:ascii="黑体" w:hAnsi="黑体" w:eastAsia="黑体" w:cs="黑体"/>
                <w:b w:val="0"/>
                <w:bCs/>
                <w:color w:val="000000" w:themeColor="text1"/>
                <w:sz w:val="24"/>
                <w:szCs w:val="24"/>
                <w:highlight w:val="none"/>
                <w:lang w:val="en-US" w:eastAsia="zh-CN"/>
                <w14:textFill>
                  <w14:solidFill>
                    <w14:schemeClr w14:val="tx1"/>
                  </w14:solidFill>
                </w14:textFill>
              </w:rPr>
              <w:t>披露数据</w:t>
            </w:r>
          </w:p>
        </w:tc>
      </w:tr>
      <w:tr w14:paraId="68D54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258" w:type="dxa"/>
            <w:vMerge w:val="restart"/>
            <w:tcBorders>
              <w:top w:val="single" w:color="000000" w:sz="4" w:space="0"/>
              <w:left w:val="single" w:color="000000" w:sz="4" w:space="0"/>
              <w:right w:val="single" w:color="000000" w:sz="4" w:space="0"/>
            </w:tcBorders>
            <w:shd w:val="clear" w:color="auto" w:fill="auto"/>
            <w:noWrap/>
            <w:vAlign w:val="center"/>
          </w:tcPr>
          <w:p w14:paraId="7DF8E4B4">
            <w:pPr>
              <w:keepNext w:val="0"/>
              <w:keepLines w:val="0"/>
              <w:widowControl/>
              <w:suppressLineNumbers w:val="0"/>
              <w:ind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绿色项目贷款</w:t>
            </w:r>
            <w:r>
              <w:rPr>
                <w:rFonts w:hint="eastAsia" w:ascii="仿宋_GB2312" w:hAnsi="仿宋_GB2312" w:eastAsia="仿宋_GB2312" w:cs="仿宋_GB2312"/>
                <w:b w:val="0"/>
                <w:bCs w:val="0"/>
                <w:i w:val="0"/>
                <w:iCs w:val="0"/>
                <w:color w:val="000000"/>
                <w:kern w:val="0"/>
                <w:sz w:val="24"/>
                <w:szCs w:val="24"/>
                <w:highlight w:val="none"/>
                <w:u w:val="none"/>
                <w:shd w:val="clear" w:color="auto" w:fill="auto"/>
                <w:lang w:val="en-US" w:eastAsia="zh-CN" w:bidi="ar"/>
              </w:rPr>
              <w:t>折合减排情况</w:t>
            </w:r>
          </w:p>
        </w:tc>
        <w:tc>
          <w:tcPr>
            <w:tcW w:w="3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6130F">
            <w:pPr>
              <w:keepNext w:val="0"/>
              <w:keepLines w:val="0"/>
              <w:widowControl/>
              <w:suppressLineNumbers w:val="0"/>
              <w:ind w:firstLine="0" w:firstLineChars="0"/>
              <w:jc w:val="center"/>
              <w:textAlignment w:val="center"/>
              <w:rPr>
                <w:rFonts w:hint="eastAsia"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b w:val="0"/>
                <w:bCs/>
                <w:color w:val="000000" w:themeColor="text1"/>
                <w:sz w:val="24"/>
                <w:szCs w:val="24"/>
                <w:highlight w:val="none"/>
                <w14:textFill>
                  <w14:solidFill>
                    <w14:schemeClr w14:val="tx1"/>
                  </w14:solidFill>
                </w14:textFill>
              </w:rPr>
              <w:t>折合减排标准煤</w:t>
            </w:r>
            <w:r>
              <w:rPr>
                <w:rFonts w:hint="eastAsia" w:ascii="仿宋_GB2312" w:hAnsi="仿宋_GB2312" w:eastAsia="仿宋_GB2312" w:cs="仿宋_GB2312"/>
                <w:b w:val="0"/>
                <w:bCs/>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b w:val="0"/>
                <w:bCs/>
                <w:color w:val="000000" w:themeColor="text1"/>
                <w:sz w:val="24"/>
                <w:szCs w:val="24"/>
                <w:highlight w:val="none"/>
                <w:lang w:val="en-US" w:eastAsia="zh-CN"/>
                <w14:textFill>
                  <w14:solidFill>
                    <w14:schemeClr w14:val="tx1"/>
                  </w14:solidFill>
                </w14:textFill>
              </w:rPr>
              <w:t>吨</w:t>
            </w:r>
            <w:r>
              <w:rPr>
                <w:rFonts w:hint="eastAsia" w:ascii="仿宋_GB2312" w:hAnsi="仿宋_GB2312" w:eastAsia="仿宋_GB2312" w:cs="仿宋_GB2312"/>
                <w:b w:val="0"/>
                <w:bCs/>
                <w:color w:val="000000" w:themeColor="text1"/>
                <w:sz w:val="24"/>
                <w:szCs w:val="24"/>
                <w:highlight w:val="none"/>
                <w:lang w:eastAsia="zh-CN"/>
                <w14:textFill>
                  <w14:solidFill>
                    <w14:schemeClr w14:val="tx1"/>
                  </w14:solidFill>
                </w14:textFill>
              </w:rPr>
              <w:t>）</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EEC2E">
            <w:pPr>
              <w:keepNext w:val="0"/>
              <w:keepLines w:val="0"/>
              <w:widowControl/>
              <w:suppressLineNumbers w:val="0"/>
              <w:ind w:firstLine="0" w:firstLineChars="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sz w:val="24"/>
                <w:szCs w:val="24"/>
                <w:highlight w:val="none"/>
                <w:u w:val="none"/>
                <w:lang w:val="en-US" w:eastAsia="zh-CN"/>
              </w:rPr>
              <w:t>84.78</w:t>
            </w:r>
          </w:p>
        </w:tc>
      </w:tr>
      <w:tr w14:paraId="7F264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258" w:type="dxa"/>
            <w:vMerge w:val="continue"/>
            <w:tcBorders>
              <w:left w:val="single" w:color="000000" w:sz="4" w:space="0"/>
              <w:bottom w:val="single" w:color="000000" w:sz="4" w:space="0"/>
              <w:right w:val="single" w:color="000000" w:sz="4" w:space="0"/>
            </w:tcBorders>
            <w:shd w:val="clear" w:color="auto" w:fill="auto"/>
            <w:noWrap/>
            <w:vAlign w:val="center"/>
          </w:tcPr>
          <w:p w14:paraId="478BDE2E">
            <w:pPr>
              <w:keepNext w:val="0"/>
              <w:keepLines w:val="0"/>
              <w:widowControl/>
              <w:suppressLineNumbers w:val="0"/>
              <w:ind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p>
        </w:tc>
        <w:tc>
          <w:tcPr>
            <w:tcW w:w="3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8A2FD">
            <w:pPr>
              <w:keepNext w:val="0"/>
              <w:keepLines w:val="0"/>
              <w:widowControl/>
              <w:suppressLineNumbers w:val="0"/>
              <w:ind w:firstLine="0" w:firstLineChars="0"/>
              <w:jc w:val="center"/>
              <w:textAlignment w:val="center"/>
              <w:rPr>
                <w:rFonts w:hint="eastAsia"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b w:val="0"/>
                <w:bCs/>
                <w:color w:val="000000" w:themeColor="text1"/>
                <w:sz w:val="24"/>
                <w:szCs w:val="24"/>
                <w:highlight w:val="none"/>
                <w14:textFill>
                  <w14:solidFill>
                    <w14:schemeClr w14:val="tx1"/>
                  </w14:solidFill>
                </w14:textFill>
              </w:rPr>
              <w:t>折合减排二氧化碳当量</w:t>
            </w:r>
            <w:r>
              <w:rPr>
                <w:rFonts w:hint="eastAsia" w:ascii="仿宋_GB2312" w:hAnsi="仿宋_GB2312" w:eastAsia="仿宋_GB2312" w:cs="仿宋_GB2312"/>
                <w:b w:val="0"/>
                <w:bCs/>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b w:val="0"/>
                <w:bCs/>
                <w:color w:val="000000" w:themeColor="text1"/>
                <w:sz w:val="24"/>
                <w:szCs w:val="24"/>
                <w:highlight w:val="none"/>
                <w:lang w:val="en-US" w:eastAsia="zh-CN"/>
                <w14:textFill>
                  <w14:solidFill>
                    <w14:schemeClr w14:val="tx1"/>
                  </w14:solidFill>
                </w14:textFill>
              </w:rPr>
              <w:t>吨</w:t>
            </w:r>
            <w:r>
              <w:rPr>
                <w:rFonts w:hint="eastAsia" w:ascii="仿宋_GB2312" w:hAnsi="仿宋_GB2312" w:eastAsia="仿宋_GB2312" w:cs="仿宋_GB2312"/>
                <w:b w:val="0"/>
                <w:bCs/>
                <w:color w:val="000000" w:themeColor="text1"/>
                <w:sz w:val="24"/>
                <w:szCs w:val="24"/>
                <w:highlight w:val="none"/>
                <w:lang w:eastAsia="zh-CN"/>
                <w14:textFill>
                  <w14:solidFill>
                    <w14:schemeClr w14:val="tx1"/>
                  </w14:solidFill>
                </w14:textFill>
              </w:rPr>
              <w:t>）</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93BA6">
            <w:pPr>
              <w:keepNext w:val="0"/>
              <w:keepLines w:val="0"/>
              <w:widowControl/>
              <w:suppressLineNumbers w:val="0"/>
              <w:ind w:firstLine="0" w:firstLineChars="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sz w:val="24"/>
                <w:szCs w:val="24"/>
                <w:highlight w:val="none"/>
                <w:u w:val="none"/>
                <w:lang w:val="en-US" w:eastAsia="zh-CN"/>
              </w:rPr>
              <w:t>164.27</w:t>
            </w:r>
          </w:p>
        </w:tc>
      </w:tr>
    </w:tbl>
    <w:p w14:paraId="3C1AB0EC">
      <w:pPr>
        <w:pStyle w:val="12"/>
        <w:snapToGrid w:val="0"/>
        <w:ind w:left="0" w:leftChars="0" w:firstLine="0" w:firstLineChars="0"/>
        <w:rPr>
          <w:highlight w:val="none"/>
        </w:rPr>
      </w:pPr>
    </w:p>
    <w:p w14:paraId="53E2CEEF">
      <w:pPr>
        <w:pStyle w:val="12"/>
        <w:snapToGrid w:val="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highlight w:val="none"/>
        </w:rPr>
        <w:t xml:space="preserve"> </w:t>
      </w:r>
      <w:r>
        <w:rPr>
          <w:rFonts w:hint="eastAsia"/>
          <w:highlight w:val="none"/>
        </w:rPr>
        <w:t>考虑数据可得性和可计算性。部分绿色项目环境效益未列入其中</w:t>
      </w:r>
    </w:p>
    <w:p w14:paraId="461326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仿宋_GB2312" w:hAnsi="仿宋_GB2312" w:eastAsia="仿宋_GB2312" w:cs="仿宋_GB2312"/>
          <w:b/>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2.投融资活动碳排放</w:t>
      </w:r>
    </w:p>
    <w:tbl>
      <w:tblPr>
        <w:tblStyle w:val="17"/>
        <w:tblW w:w="497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84"/>
        <w:gridCol w:w="4476"/>
        <w:gridCol w:w="1518"/>
      </w:tblGrid>
      <w:tr w14:paraId="1564D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jc w:val="center"/>
        </w:trPr>
        <w:tc>
          <w:tcPr>
            <w:tcW w:w="1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5BEB6">
            <w:pPr>
              <w:pStyle w:val="22"/>
              <w:bidi w:val="0"/>
              <w:jc w:val="center"/>
              <w:rPr>
                <w:rFonts w:hint="default" w:ascii="黑体" w:hAnsi="黑体" w:eastAsia="黑体" w:cs="黑体"/>
                <w:b w:val="0"/>
                <w:bCs w:val="0"/>
                <w:sz w:val="24"/>
                <w:szCs w:val="24"/>
                <w:highlight w:val="none"/>
                <w:shd w:val="clear" w:color="auto" w:fill="auto"/>
                <w:lang w:val="en-US" w:eastAsia="zh-CN"/>
              </w:rPr>
            </w:pPr>
            <w:r>
              <w:rPr>
                <w:rFonts w:hint="eastAsia" w:ascii="黑体" w:hAnsi="黑体" w:eastAsia="黑体" w:cs="黑体"/>
                <w:b w:val="0"/>
                <w:bCs w:val="0"/>
                <w:sz w:val="24"/>
                <w:szCs w:val="24"/>
                <w:highlight w:val="none"/>
                <w:shd w:val="clear" w:color="auto" w:fill="auto"/>
                <w:lang w:val="en-US" w:eastAsia="zh-CN"/>
              </w:rPr>
              <w:t>指标名称</w:t>
            </w:r>
          </w:p>
        </w:tc>
        <w:tc>
          <w:tcPr>
            <w:tcW w:w="2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E34FF">
            <w:pPr>
              <w:pStyle w:val="22"/>
              <w:bidi w:val="0"/>
              <w:jc w:val="center"/>
              <w:rPr>
                <w:rFonts w:hint="eastAsia" w:ascii="黑体" w:hAnsi="黑体" w:eastAsia="黑体" w:cs="黑体"/>
                <w:b w:val="0"/>
                <w:bCs w:val="0"/>
                <w:sz w:val="24"/>
                <w:szCs w:val="24"/>
                <w:highlight w:val="none"/>
                <w:shd w:val="clear" w:color="auto" w:fill="auto"/>
                <w:lang w:val="en-US" w:eastAsia="zh-CN"/>
              </w:rPr>
            </w:pPr>
            <w:r>
              <w:rPr>
                <w:rFonts w:hint="eastAsia" w:ascii="黑体" w:hAnsi="黑体" w:eastAsia="黑体" w:cs="黑体"/>
                <w:b w:val="0"/>
                <w:bCs w:val="0"/>
                <w:sz w:val="24"/>
                <w:szCs w:val="24"/>
                <w:highlight w:val="none"/>
                <w:shd w:val="clear" w:color="auto" w:fill="auto"/>
                <w:lang w:val="en-US" w:eastAsia="zh-CN"/>
              </w:rPr>
              <w:t>披露细项</w:t>
            </w:r>
          </w:p>
        </w:tc>
        <w:tc>
          <w:tcPr>
            <w:tcW w:w="8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3A6AB">
            <w:pPr>
              <w:pStyle w:val="22"/>
              <w:bidi w:val="0"/>
              <w:ind w:firstLine="0" w:firstLineChars="0"/>
              <w:jc w:val="center"/>
              <w:rPr>
                <w:rFonts w:hint="default" w:ascii="黑体" w:hAnsi="黑体" w:eastAsia="黑体" w:cs="黑体"/>
                <w:b w:val="0"/>
                <w:bCs w:val="0"/>
                <w:sz w:val="24"/>
                <w:szCs w:val="24"/>
                <w:highlight w:val="none"/>
                <w:shd w:val="clear" w:color="auto" w:fill="auto"/>
                <w:lang w:val="en-US" w:eastAsia="zh-CN"/>
              </w:rPr>
            </w:pPr>
            <w:r>
              <w:rPr>
                <w:rFonts w:hint="eastAsia" w:ascii="黑体" w:hAnsi="黑体" w:eastAsia="黑体" w:cs="黑体"/>
                <w:b w:val="0"/>
                <w:bCs w:val="0"/>
                <w:sz w:val="24"/>
                <w:szCs w:val="24"/>
                <w:highlight w:val="none"/>
                <w:lang w:val="en-US" w:eastAsia="zh-CN"/>
              </w:rPr>
              <w:t>披露数据</w:t>
            </w:r>
          </w:p>
        </w:tc>
      </w:tr>
      <w:tr w14:paraId="2BF39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14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FFE02">
            <w:pPr>
              <w:keepNext w:val="0"/>
              <w:keepLines w:val="0"/>
              <w:widowControl/>
              <w:suppressLineNumbers w:val="0"/>
              <w:ind w:firstLine="0" w:firstLineChars="0"/>
              <w:jc w:val="center"/>
              <w:textAlignment w:val="center"/>
              <w:rPr>
                <w:rFonts w:hint="eastAsia" w:ascii="仿宋_GB2312" w:hAnsi="仿宋_GB2312" w:eastAsia="仿宋_GB2312" w:cs="仿宋_GB2312"/>
                <w:b w:val="0"/>
                <w:bCs w:val="0"/>
                <w:i w:val="0"/>
                <w:iCs w:val="0"/>
                <w:color w:val="000000"/>
                <w:sz w:val="24"/>
                <w:szCs w:val="24"/>
                <w:highlight w:val="none"/>
                <w:u w:val="none"/>
                <w:shd w:val="clear" w:color="auto" w:fill="auto"/>
              </w:rPr>
            </w:pPr>
            <w:r>
              <w:rPr>
                <w:rFonts w:hint="eastAsia" w:ascii="仿宋_GB2312" w:hAnsi="仿宋_GB2312" w:eastAsia="仿宋_GB2312" w:cs="仿宋_GB2312"/>
                <w:b w:val="0"/>
                <w:bCs w:val="0"/>
                <w:i w:val="0"/>
                <w:iCs w:val="0"/>
                <w:color w:val="000000"/>
                <w:sz w:val="24"/>
                <w:szCs w:val="24"/>
                <w:highlight w:val="none"/>
                <w:u w:val="none"/>
                <w:shd w:val="clear" w:color="auto" w:fill="auto"/>
                <w:lang w:val="en-US" w:eastAsia="zh-CN"/>
              </w:rPr>
              <w:t>投融资碳排放情况</w:t>
            </w:r>
          </w:p>
        </w:tc>
        <w:tc>
          <w:tcPr>
            <w:tcW w:w="2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A21FB">
            <w:pPr>
              <w:keepNext w:val="0"/>
              <w:keepLines w:val="0"/>
              <w:widowControl/>
              <w:suppressLineNumbers w:val="0"/>
              <w:ind w:firstLine="0" w:firstLineChars="0"/>
              <w:jc w:val="center"/>
              <w:textAlignment w:val="center"/>
              <w:rPr>
                <w:rFonts w:hint="eastAsia" w:ascii="仿宋_GB2312" w:hAnsi="仿宋_GB2312" w:eastAsia="仿宋_GB2312" w:cs="仿宋_GB2312"/>
                <w:i w:val="0"/>
                <w:iCs w:val="0"/>
                <w:color w:val="000000"/>
                <w:sz w:val="24"/>
                <w:szCs w:val="24"/>
                <w:highlight w:val="none"/>
                <w:u w:val="none"/>
                <w:shd w:val="clear" w:color="auto" w:fill="auto"/>
              </w:rPr>
            </w:pPr>
            <w:r>
              <w:rPr>
                <w:rFonts w:hint="eastAsia" w:ascii="仿宋_GB2312" w:hAnsi="仿宋_GB2312" w:eastAsia="仿宋_GB2312" w:cs="仿宋_GB2312"/>
                <w:i w:val="0"/>
                <w:iCs w:val="0"/>
                <w:color w:val="000000"/>
                <w:sz w:val="24"/>
                <w:szCs w:val="24"/>
                <w:highlight w:val="none"/>
                <w:u w:val="none"/>
                <w:shd w:val="clear" w:color="auto" w:fill="auto"/>
                <w:lang w:val="en-US" w:eastAsia="zh-CN"/>
              </w:rPr>
              <w:t>项目融资业务碳排放量（</w:t>
            </w:r>
            <m:oMath>
              <m:sSub>
                <m:sSubPr>
                  <m:ctrlPr>
                    <w:rPr>
                      <w:rFonts w:hint="eastAsia" w:ascii="Cambria Math" w:hAnsi="Cambria Math" w:eastAsia="仿宋_GB2312" w:cs="仿宋_GB2312"/>
                      <w:i w:val="0"/>
                      <w:iCs w:val="0"/>
                      <w:color w:val="000000"/>
                      <w:sz w:val="24"/>
                      <w:szCs w:val="24"/>
                      <w:highlight w:val="none"/>
                      <w:u w:val="none"/>
                      <w:shd w:val="clear" w:color="auto" w:fill="auto"/>
                      <w:lang w:val="en-US" w:eastAsia="zh-CN"/>
                    </w:rPr>
                  </m:ctrlPr>
                </m:sSubPr>
                <m:e>
                  <m:r>
                    <m:rPr>
                      <m:sty m:val="p"/>
                    </m:rPr>
                    <w:rPr>
                      <w:rFonts w:hint="eastAsia" w:ascii="Cambria Math" w:hAnsi="Cambria Math" w:eastAsia="仿宋_GB2312" w:cs="仿宋_GB2312"/>
                      <w:color w:val="000000"/>
                      <w:sz w:val="24"/>
                      <w:szCs w:val="24"/>
                      <w:highlight w:val="none"/>
                      <w:u w:val="none"/>
                      <w:shd w:val="clear" w:color="auto" w:fill="auto"/>
                      <w:lang w:val="en-US" w:eastAsia="zh-CN"/>
                    </w:rPr>
                    <m:t>tCO</m:t>
                  </m:r>
                  <m:ctrlPr>
                    <w:rPr>
                      <w:rFonts w:hint="eastAsia" w:ascii="Cambria Math" w:hAnsi="Cambria Math" w:eastAsia="仿宋_GB2312" w:cs="仿宋_GB2312"/>
                      <w:i w:val="0"/>
                      <w:iCs w:val="0"/>
                      <w:color w:val="000000"/>
                      <w:sz w:val="24"/>
                      <w:szCs w:val="24"/>
                      <w:highlight w:val="none"/>
                      <w:u w:val="none"/>
                      <w:shd w:val="clear" w:color="auto" w:fill="auto"/>
                      <w:lang w:val="en-US" w:eastAsia="zh-CN"/>
                    </w:rPr>
                  </m:ctrlPr>
                </m:e>
                <m:sub>
                  <m:r>
                    <m:rPr>
                      <m:sty m:val="p"/>
                    </m:rPr>
                    <w:rPr>
                      <w:rFonts w:hint="eastAsia" w:ascii="Cambria Math" w:hAnsi="Cambria Math" w:eastAsia="仿宋_GB2312" w:cs="仿宋_GB2312"/>
                      <w:color w:val="000000"/>
                      <w:sz w:val="24"/>
                      <w:szCs w:val="24"/>
                      <w:highlight w:val="none"/>
                      <w:u w:val="none"/>
                      <w:shd w:val="clear" w:color="auto" w:fill="auto"/>
                      <w:lang w:val="en-US" w:eastAsia="zh-CN"/>
                    </w:rPr>
                    <m:t>2</m:t>
                  </m:r>
                  <m:ctrlPr>
                    <w:rPr>
                      <w:rFonts w:hint="eastAsia" w:ascii="Cambria Math" w:hAnsi="Cambria Math" w:eastAsia="仿宋_GB2312" w:cs="仿宋_GB2312"/>
                      <w:i w:val="0"/>
                      <w:iCs w:val="0"/>
                      <w:color w:val="000000"/>
                      <w:sz w:val="24"/>
                      <w:szCs w:val="24"/>
                      <w:highlight w:val="none"/>
                      <w:u w:val="none"/>
                      <w:shd w:val="clear" w:color="auto" w:fill="auto"/>
                      <w:lang w:val="en-US" w:eastAsia="zh-CN"/>
                    </w:rPr>
                  </m:ctrlPr>
                </m:sub>
              </m:sSub>
              <m:r>
                <m:rPr>
                  <m:sty m:val="p"/>
                </m:rPr>
                <w:rPr>
                  <w:rFonts w:hint="eastAsia" w:ascii="Cambria Math" w:hAnsi="Cambria Math" w:eastAsia="仿宋_GB2312" w:cs="仿宋_GB2312"/>
                  <w:color w:val="000000"/>
                  <w:sz w:val="24"/>
                  <w:szCs w:val="24"/>
                  <w:highlight w:val="none"/>
                  <w:u w:val="none"/>
                  <w:shd w:val="clear" w:color="auto" w:fill="auto"/>
                  <w:lang w:val="en-US" w:eastAsia="zh-CN"/>
                </w:rPr>
                <m:t>e</m:t>
              </m:r>
            </m:oMath>
            <w:r>
              <w:rPr>
                <w:rFonts w:hint="eastAsia" w:ascii="仿宋_GB2312" w:hAnsi="仿宋_GB2312" w:eastAsia="仿宋_GB2312" w:cs="仿宋_GB2312"/>
                <w:i w:val="0"/>
                <w:iCs w:val="0"/>
                <w:color w:val="000000"/>
                <w:sz w:val="24"/>
                <w:szCs w:val="24"/>
                <w:highlight w:val="none"/>
                <w:u w:val="none"/>
                <w:shd w:val="clear" w:color="auto" w:fill="auto"/>
                <w:lang w:val="en-US" w:eastAsia="zh-CN"/>
              </w:rPr>
              <w:t>）</w:t>
            </w:r>
          </w:p>
        </w:tc>
        <w:tc>
          <w:tcPr>
            <w:tcW w:w="8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7CFCF">
            <w:pPr>
              <w:keepNext w:val="0"/>
              <w:keepLines w:val="0"/>
              <w:widowControl/>
              <w:suppressLineNumbers w:val="0"/>
              <w:ind w:firstLine="0" w:firstLineChars="0"/>
              <w:jc w:val="center"/>
              <w:textAlignment w:val="center"/>
              <w:rPr>
                <w:rFonts w:hint="default" w:ascii="仿宋_GB2312" w:hAnsi="仿宋_GB2312" w:eastAsia="仿宋_GB2312" w:cs="仿宋_GB2312"/>
                <w:i w:val="0"/>
                <w:iCs w:val="0"/>
                <w:color w:val="000000"/>
                <w:sz w:val="24"/>
                <w:szCs w:val="24"/>
                <w:highlight w:val="none"/>
                <w:u w:val="none"/>
                <w:shd w:val="clear" w:color="auto" w:fill="auto"/>
                <w:lang w:val="en-US" w:eastAsia="zh-CN"/>
              </w:rPr>
            </w:pPr>
            <w:r>
              <w:rPr>
                <w:rFonts w:hint="eastAsia" w:ascii="仿宋_GB2312" w:hAnsi="仿宋_GB2312" w:eastAsia="仿宋_GB2312" w:cs="仿宋_GB2312"/>
                <w:i w:val="0"/>
                <w:iCs w:val="0"/>
                <w:color w:val="000000"/>
                <w:sz w:val="24"/>
                <w:szCs w:val="24"/>
                <w:highlight w:val="none"/>
                <w:u w:val="none"/>
                <w:shd w:val="clear" w:color="auto" w:fill="auto"/>
                <w:lang w:val="en-US" w:eastAsia="zh-CN"/>
              </w:rPr>
              <w:t>2416.99</w:t>
            </w:r>
          </w:p>
        </w:tc>
      </w:tr>
      <w:tr w14:paraId="7226B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14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F27B7">
            <w:pPr>
              <w:widowControl/>
              <w:ind w:firstLine="0" w:firstLineChars="0"/>
              <w:jc w:val="center"/>
              <w:rPr>
                <w:rFonts w:hint="eastAsia" w:ascii="仿宋_GB2312" w:hAnsi="仿宋_GB2312" w:eastAsia="仿宋_GB2312" w:cs="仿宋_GB2312"/>
                <w:b w:val="0"/>
                <w:bCs w:val="0"/>
                <w:i w:val="0"/>
                <w:iCs w:val="0"/>
                <w:color w:val="000000"/>
                <w:sz w:val="24"/>
                <w:szCs w:val="24"/>
                <w:highlight w:val="none"/>
                <w:u w:val="none"/>
                <w:shd w:val="clear" w:color="auto" w:fill="auto"/>
              </w:rPr>
            </w:pPr>
          </w:p>
        </w:tc>
        <w:tc>
          <w:tcPr>
            <w:tcW w:w="2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0644B">
            <w:pPr>
              <w:keepNext w:val="0"/>
              <w:keepLines w:val="0"/>
              <w:widowControl/>
              <w:suppressLineNumbers w:val="0"/>
              <w:ind w:firstLine="0" w:firstLineChars="0"/>
              <w:jc w:val="center"/>
              <w:textAlignment w:val="center"/>
              <w:rPr>
                <w:rFonts w:hint="eastAsia" w:ascii="仿宋_GB2312" w:hAnsi="仿宋_GB2312" w:eastAsia="仿宋_GB2312" w:cs="仿宋_GB2312"/>
                <w:i w:val="0"/>
                <w:iCs w:val="0"/>
                <w:color w:val="000000"/>
                <w:sz w:val="24"/>
                <w:szCs w:val="24"/>
                <w:highlight w:val="none"/>
                <w:u w:val="none"/>
                <w:shd w:val="clear" w:color="auto" w:fill="auto"/>
              </w:rPr>
            </w:pPr>
            <w:r>
              <w:rPr>
                <w:rFonts w:hint="eastAsia" w:ascii="仿宋_GB2312" w:hAnsi="仿宋_GB2312" w:eastAsia="仿宋_GB2312" w:cs="仿宋_GB2312"/>
                <w:i w:val="0"/>
                <w:iCs w:val="0"/>
                <w:color w:val="000000"/>
                <w:sz w:val="24"/>
                <w:szCs w:val="24"/>
                <w:highlight w:val="none"/>
                <w:u w:val="none"/>
                <w:shd w:val="clear" w:color="auto" w:fill="auto"/>
                <w:lang w:val="en-US" w:eastAsia="zh-CN"/>
              </w:rPr>
              <w:t>非项目融资业务碳排放量（</w:t>
            </w:r>
            <m:oMath>
              <m:sSub>
                <m:sSubPr>
                  <m:ctrlPr>
                    <w:rPr>
                      <w:rFonts w:hint="default" w:ascii="Cambria Math" w:hAnsi="Cambria Math" w:cs="Times New Roman"/>
                      <w:kern w:val="2"/>
                      <w:sz w:val="24"/>
                      <w:szCs w:val="24"/>
                      <w:highlight w:val="none"/>
                      <w:shd w:val="clear" w:color="auto" w:fill="auto"/>
                      <w:lang w:val="en-US" w:eastAsia="zh-CN" w:bidi="ar-SA"/>
                    </w:rPr>
                  </m:ctrlPr>
                </m:sSubPr>
                <m:e>
                  <m:r>
                    <m:rPr>
                      <m:sty m:val="p"/>
                    </m:rPr>
                    <w:rPr>
                      <w:rFonts w:hint="default" w:ascii="Cambria Math" w:hAnsi="Cambria Math" w:cs="Times New Roman"/>
                      <w:kern w:val="2"/>
                      <w:sz w:val="24"/>
                      <w:szCs w:val="24"/>
                      <w:highlight w:val="none"/>
                      <w:shd w:val="clear" w:color="auto" w:fill="auto"/>
                      <w:lang w:val="en-US" w:eastAsia="zh-CN" w:bidi="ar-SA"/>
                    </w:rPr>
                    <m:t>tCO</m:t>
                  </m:r>
                  <m:ctrlPr>
                    <w:rPr>
                      <w:rFonts w:hint="default" w:ascii="Cambria Math" w:hAnsi="Cambria Math" w:cs="Times New Roman"/>
                      <w:kern w:val="2"/>
                      <w:sz w:val="24"/>
                      <w:szCs w:val="24"/>
                      <w:highlight w:val="none"/>
                      <w:shd w:val="clear" w:color="auto" w:fill="auto"/>
                      <w:lang w:val="en-US" w:eastAsia="zh-CN" w:bidi="ar-SA"/>
                    </w:rPr>
                  </m:ctrlPr>
                </m:e>
                <m:sub>
                  <m:r>
                    <m:rPr>
                      <m:sty m:val="p"/>
                    </m:rPr>
                    <w:rPr>
                      <w:rFonts w:hint="default" w:ascii="Cambria Math" w:hAnsi="Cambria Math" w:cs="Times New Roman"/>
                      <w:kern w:val="2"/>
                      <w:sz w:val="24"/>
                      <w:szCs w:val="24"/>
                      <w:highlight w:val="none"/>
                      <w:shd w:val="clear" w:color="auto" w:fill="auto"/>
                      <w:vertAlign w:val="subscript"/>
                      <w:lang w:val="en-US" w:eastAsia="zh-CN" w:bidi="ar-SA"/>
                    </w:rPr>
                    <m:t>2</m:t>
                  </m:r>
                  <m:ctrlPr>
                    <w:rPr>
                      <w:rFonts w:hint="default" w:ascii="Cambria Math" w:hAnsi="Cambria Math" w:cs="Times New Roman"/>
                      <w:kern w:val="2"/>
                      <w:sz w:val="24"/>
                      <w:szCs w:val="24"/>
                      <w:highlight w:val="none"/>
                      <w:shd w:val="clear" w:color="auto" w:fill="auto"/>
                      <w:lang w:val="en-US" w:eastAsia="zh-CN" w:bidi="ar-SA"/>
                    </w:rPr>
                  </m:ctrlPr>
                </m:sub>
              </m:sSub>
              <m:r>
                <m:rPr>
                  <m:sty m:val="p"/>
                </m:rPr>
                <w:rPr>
                  <w:rFonts w:hint="default" w:ascii="Cambria Math" w:hAnsi="Cambria Math" w:cs="Times New Roman"/>
                  <w:kern w:val="2"/>
                  <w:sz w:val="24"/>
                  <w:szCs w:val="24"/>
                  <w:highlight w:val="none"/>
                  <w:shd w:val="clear" w:color="auto" w:fill="auto"/>
                  <w:lang w:val="en-US" w:eastAsia="zh-CN" w:bidi="ar-SA"/>
                </w:rPr>
                <m:t>e</m:t>
              </m:r>
            </m:oMath>
            <w:r>
              <w:rPr>
                <w:rFonts w:hint="eastAsia" w:ascii="仿宋_GB2312" w:hAnsi="仿宋_GB2312" w:eastAsia="仿宋_GB2312" w:cs="仿宋_GB2312"/>
                <w:i w:val="0"/>
                <w:iCs w:val="0"/>
                <w:color w:val="000000"/>
                <w:sz w:val="24"/>
                <w:szCs w:val="24"/>
                <w:highlight w:val="none"/>
                <w:u w:val="none"/>
                <w:shd w:val="clear" w:color="auto" w:fill="auto"/>
                <w:lang w:val="en-US" w:eastAsia="zh-CN"/>
              </w:rPr>
              <w:t>）</w:t>
            </w:r>
          </w:p>
        </w:tc>
        <w:tc>
          <w:tcPr>
            <w:tcW w:w="8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10C0">
            <w:pPr>
              <w:keepNext w:val="0"/>
              <w:keepLines w:val="0"/>
              <w:widowControl/>
              <w:suppressLineNumbers w:val="0"/>
              <w:ind w:firstLine="0" w:firstLineChars="0"/>
              <w:jc w:val="center"/>
              <w:textAlignment w:val="center"/>
              <w:rPr>
                <w:rFonts w:hint="default" w:ascii="仿宋_GB2312" w:hAnsi="仿宋_GB2312" w:eastAsia="仿宋_GB2312" w:cs="仿宋_GB2312"/>
                <w:i w:val="0"/>
                <w:iCs w:val="0"/>
                <w:color w:val="000000"/>
                <w:sz w:val="24"/>
                <w:szCs w:val="24"/>
                <w:highlight w:val="none"/>
                <w:u w:val="none"/>
                <w:shd w:val="clear" w:color="auto" w:fill="auto"/>
                <w:lang w:val="en-US" w:eastAsia="zh-CN"/>
              </w:rPr>
            </w:pPr>
            <w:r>
              <w:rPr>
                <w:rFonts w:hint="eastAsia" w:ascii="仿宋_GB2312" w:hAnsi="仿宋_GB2312" w:eastAsia="仿宋_GB2312" w:cs="仿宋_GB2312"/>
                <w:i w:val="0"/>
                <w:iCs w:val="0"/>
                <w:color w:val="000000"/>
                <w:sz w:val="24"/>
                <w:szCs w:val="24"/>
                <w:highlight w:val="none"/>
                <w:u w:val="none"/>
                <w:shd w:val="clear" w:color="auto" w:fill="auto"/>
                <w:lang w:val="en-US" w:eastAsia="zh-CN"/>
              </w:rPr>
              <w:t>20778.32</w:t>
            </w:r>
          </w:p>
        </w:tc>
      </w:tr>
    </w:tbl>
    <w:p w14:paraId="10A723F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黑体" w:hAnsi="黑体" w:eastAsia="黑体" w:cs="黑体"/>
          <w:b w:val="0"/>
          <w:bCs w:val="0"/>
          <w:color w:val="000000" w:themeColor="text1"/>
          <w:kern w:val="2"/>
          <w:sz w:val="32"/>
          <w:szCs w:val="22"/>
          <w:highlight w:val="none"/>
          <w:shd w:val="clear" w:color="auto" w:fill="auto"/>
          <w:lang w:val="en-US" w:eastAsia="zh-CN" w:bidi="ar-SA"/>
          <w14:textFill>
            <w14:solidFill>
              <w14:schemeClr w14:val="tx1"/>
            </w14:solidFill>
          </w14:textFill>
        </w:rPr>
      </w:pPr>
    </w:p>
    <w:p w14:paraId="5DF7DCE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b/>
          <w:bCs/>
          <w:color w:val="000000" w:themeColor="text1"/>
          <w:kern w:val="0"/>
          <w:sz w:val="32"/>
          <w:szCs w:val="32"/>
          <w:highlight w:val="none"/>
          <w:shd w:val="clear" w:color="auto" w:fill="auto"/>
          <w:lang w:val="en-US" w:eastAsia="zh-CN" w:bidi="ar"/>
          <w14:textFill>
            <w14:solidFill>
              <w14:schemeClr w14:val="tx1"/>
            </w14:solidFill>
          </w14:textFill>
        </w:rPr>
      </w:pPr>
      <w:r>
        <w:rPr>
          <w:rFonts w:hint="eastAsia" w:ascii="黑体" w:hAnsi="黑体" w:eastAsia="黑体" w:cs="黑体"/>
          <w:b w:val="0"/>
          <w:bCs w:val="0"/>
          <w:color w:val="000000" w:themeColor="text1"/>
          <w:kern w:val="2"/>
          <w:sz w:val="32"/>
          <w:szCs w:val="22"/>
          <w:highlight w:val="none"/>
          <w:shd w:val="clear" w:color="auto" w:fill="auto"/>
          <w:lang w:val="en-US" w:eastAsia="zh-CN" w:bidi="ar-SA"/>
          <w14:textFill>
            <w14:solidFill>
              <w14:schemeClr w14:val="tx1"/>
            </w14:solidFill>
          </w14:textFill>
        </w:rPr>
        <w:t>3.</w:t>
      </w:r>
      <w:r>
        <w:rPr>
          <w:rFonts w:hint="eastAsia" w:ascii="仿宋_GB2312" w:hAnsi="仿宋_GB2312" w:eastAsia="仿宋_GB2312" w:cs="仿宋_GB2312"/>
          <w:b/>
          <w:bCs/>
          <w:color w:val="000000" w:themeColor="text1"/>
          <w:kern w:val="0"/>
          <w:sz w:val="32"/>
          <w:szCs w:val="32"/>
          <w:highlight w:val="none"/>
          <w:shd w:val="clear" w:color="auto" w:fill="auto"/>
          <w:lang w:val="en-US" w:eastAsia="zh-CN" w:bidi="ar"/>
          <w14:textFill>
            <w14:solidFill>
              <w14:schemeClr w14:val="tx1"/>
            </w14:solidFill>
          </w14:textFill>
        </w:rPr>
        <w:t>八大高碳行业投融资活动碳排放</w:t>
      </w:r>
    </w:p>
    <w:p w14:paraId="0DAA484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黑体" w:hAnsi="黑体" w:eastAsia="黑体" w:cs="黑体"/>
          <w:b w:val="0"/>
          <w:bCs w:val="0"/>
          <w:i w:val="0"/>
          <w:iCs w:val="0"/>
          <w:color w:val="000000" w:themeColor="text1"/>
          <w:kern w:val="2"/>
          <w:sz w:val="24"/>
          <w:szCs w:val="24"/>
          <w:highlight w:val="none"/>
          <w:shd w:val="clear" w:color="auto" w:fill="auto"/>
          <w:lang w:val="en-US" w:eastAsia="zh-CN" w:bidi="ar-SA"/>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本行八大高碳行业投融资活动碳排放情况以及数据等次如下表：</w:t>
      </w:r>
    </w:p>
    <w:tbl>
      <w:tblPr>
        <w:tblStyle w:val="17"/>
        <w:tblW w:w="498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505"/>
        <w:gridCol w:w="3757"/>
        <w:gridCol w:w="2228"/>
      </w:tblGrid>
      <w:tr w14:paraId="217BD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2" w:hRule="atLeast"/>
          <w:jc w:val="center"/>
        </w:trPr>
        <w:tc>
          <w:tcPr>
            <w:tcW w:w="1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39E73">
            <w:pPr>
              <w:pStyle w:val="22"/>
              <w:bidi w:val="0"/>
              <w:jc w:val="center"/>
              <w:rPr>
                <w:rFonts w:hint="default" w:ascii="黑体" w:hAnsi="黑体" w:eastAsia="黑体" w:cs="黑体"/>
                <w:b w:val="0"/>
                <w:bCs w:val="0"/>
                <w:sz w:val="24"/>
                <w:szCs w:val="24"/>
                <w:highlight w:val="none"/>
                <w:shd w:val="clear" w:color="auto" w:fill="auto"/>
                <w:lang w:val="en-US" w:eastAsia="zh-CN"/>
              </w:rPr>
            </w:pPr>
            <w:r>
              <w:rPr>
                <w:rFonts w:hint="eastAsia" w:ascii="黑体" w:hAnsi="黑体" w:eastAsia="黑体" w:cs="黑体"/>
                <w:b w:val="0"/>
                <w:bCs w:val="0"/>
                <w:sz w:val="24"/>
                <w:szCs w:val="24"/>
                <w:highlight w:val="none"/>
                <w:shd w:val="clear" w:color="auto" w:fill="auto"/>
                <w:lang w:val="en-US" w:eastAsia="zh-CN"/>
              </w:rPr>
              <w:t>指标名称</w:t>
            </w:r>
          </w:p>
        </w:tc>
        <w:tc>
          <w:tcPr>
            <w:tcW w:w="2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75622">
            <w:pPr>
              <w:pStyle w:val="22"/>
              <w:bidi w:val="0"/>
              <w:jc w:val="center"/>
              <w:rPr>
                <w:rFonts w:hint="eastAsia" w:ascii="黑体" w:hAnsi="黑体" w:eastAsia="黑体" w:cs="黑体"/>
                <w:b w:val="0"/>
                <w:bCs w:val="0"/>
                <w:sz w:val="24"/>
                <w:szCs w:val="24"/>
                <w:highlight w:val="none"/>
                <w:shd w:val="clear" w:color="auto" w:fill="auto"/>
                <w:lang w:val="en-US" w:eastAsia="zh-CN"/>
              </w:rPr>
            </w:pPr>
            <w:r>
              <w:rPr>
                <w:rFonts w:hint="eastAsia" w:ascii="黑体" w:hAnsi="黑体" w:eastAsia="黑体" w:cs="黑体"/>
                <w:b w:val="0"/>
                <w:bCs w:val="0"/>
                <w:sz w:val="24"/>
                <w:szCs w:val="24"/>
                <w:highlight w:val="none"/>
                <w:shd w:val="clear" w:color="auto" w:fill="auto"/>
                <w:lang w:val="en-US" w:eastAsia="zh-CN"/>
              </w:rPr>
              <w:t>披露细项</w:t>
            </w:r>
          </w:p>
        </w:tc>
        <w:tc>
          <w:tcPr>
            <w:tcW w:w="1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61E46">
            <w:pPr>
              <w:pStyle w:val="22"/>
              <w:bidi w:val="0"/>
              <w:jc w:val="center"/>
              <w:rPr>
                <w:rFonts w:hint="default" w:ascii="黑体" w:hAnsi="黑体" w:eastAsia="黑体" w:cs="黑体"/>
                <w:b w:val="0"/>
                <w:bCs w:val="0"/>
                <w:sz w:val="24"/>
                <w:szCs w:val="24"/>
                <w:highlight w:val="none"/>
                <w:shd w:val="clear" w:color="auto" w:fill="auto"/>
                <w:lang w:val="en-US" w:eastAsia="zh-CN"/>
              </w:rPr>
            </w:pPr>
            <w:r>
              <w:rPr>
                <w:rFonts w:hint="eastAsia" w:ascii="黑体" w:hAnsi="黑体" w:eastAsia="黑体" w:cs="黑体"/>
                <w:b w:val="0"/>
                <w:bCs w:val="0"/>
                <w:sz w:val="24"/>
                <w:szCs w:val="24"/>
                <w:highlight w:val="none"/>
                <w:shd w:val="clear" w:color="auto" w:fill="auto"/>
                <w:lang w:val="en-US" w:eastAsia="zh-CN"/>
              </w:rPr>
              <w:t>披露数据</w:t>
            </w:r>
          </w:p>
        </w:tc>
      </w:tr>
      <w:tr w14:paraId="69BEE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47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B5197">
            <w:pPr>
              <w:keepNext w:val="0"/>
              <w:keepLines w:val="0"/>
              <w:widowControl/>
              <w:suppressLineNumbers w:val="0"/>
              <w:ind w:firstLine="0" w:firstLineChars="0"/>
              <w:jc w:val="center"/>
              <w:textAlignment w:val="center"/>
              <w:rPr>
                <w:rFonts w:hint="eastAsia" w:ascii="仿宋_GB2312" w:hAnsi="仿宋_GB2312" w:eastAsia="仿宋_GB2312" w:cs="仿宋_GB2312"/>
                <w:b w:val="0"/>
                <w:bCs w:val="0"/>
                <w:i w:val="0"/>
                <w:iCs w:val="0"/>
                <w:color w:val="000000"/>
                <w:sz w:val="24"/>
                <w:szCs w:val="24"/>
                <w:highlight w:val="none"/>
                <w:u w:val="none"/>
                <w:shd w:val="clear" w:color="auto" w:fill="auto"/>
                <w:lang w:val="en-US" w:eastAsia="zh-CN"/>
              </w:rPr>
            </w:pPr>
            <w:r>
              <w:rPr>
                <w:rFonts w:hint="eastAsia" w:ascii="仿宋_GB2312" w:hAnsi="仿宋_GB2312" w:eastAsia="仿宋_GB2312" w:cs="仿宋_GB2312"/>
                <w:b w:val="0"/>
                <w:bCs w:val="0"/>
                <w:i w:val="0"/>
                <w:iCs w:val="0"/>
                <w:color w:val="000000"/>
                <w:sz w:val="24"/>
                <w:szCs w:val="24"/>
                <w:highlight w:val="none"/>
                <w:u w:val="none"/>
                <w:shd w:val="clear" w:color="auto" w:fill="auto"/>
                <w:lang w:val="en-US" w:eastAsia="zh-CN"/>
              </w:rPr>
              <w:t>八大高碳行业投</w:t>
            </w:r>
          </w:p>
          <w:p w14:paraId="4EF87B9F">
            <w:pPr>
              <w:keepNext w:val="0"/>
              <w:keepLines w:val="0"/>
              <w:widowControl/>
              <w:suppressLineNumbers w:val="0"/>
              <w:ind w:firstLine="0" w:firstLineChars="0"/>
              <w:jc w:val="center"/>
              <w:textAlignment w:val="center"/>
              <w:rPr>
                <w:rFonts w:hint="eastAsia" w:ascii="仿宋_GB2312" w:hAnsi="仿宋_GB2312" w:eastAsia="仿宋_GB2312" w:cs="仿宋_GB2312"/>
                <w:b w:val="0"/>
                <w:bCs w:val="0"/>
                <w:i w:val="0"/>
                <w:iCs w:val="0"/>
                <w:color w:val="000000"/>
                <w:sz w:val="24"/>
                <w:szCs w:val="24"/>
                <w:highlight w:val="none"/>
                <w:u w:val="none"/>
                <w:shd w:val="clear" w:color="auto" w:fill="auto"/>
              </w:rPr>
            </w:pPr>
            <w:r>
              <w:rPr>
                <w:rFonts w:hint="eastAsia" w:ascii="仿宋_GB2312" w:hAnsi="仿宋_GB2312" w:eastAsia="仿宋_GB2312" w:cs="仿宋_GB2312"/>
                <w:b w:val="0"/>
                <w:bCs w:val="0"/>
                <w:i w:val="0"/>
                <w:iCs w:val="0"/>
                <w:color w:val="000000"/>
                <w:sz w:val="24"/>
                <w:szCs w:val="24"/>
                <w:highlight w:val="none"/>
                <w:u w:val="none"/>
                <w:shd w:val="clear" w:color="auto" w:fill="auto"/>
                <w:lang w:val="en-US" w:eastAsia="zh-CN"/>
              </w:rPr>
              <w:t>融资碳排放情况</w:t>
            </w:r>
          </w:p>
        </w:tc>
        <w:tc>
          <w:tcPr>
            <w:tcW w:w="2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BC157">
            <w:pPr>
              <w:keepNext w:val="0"/>
              <w:keepLines w:val="0"/>
              <w:widowControl/>
              <w:suppressLineNumbers w:val="0"/>
              <w:ind w:firstLine="0" w:firstLineChars="0"/>
              <w:jc w:val="center"/>
              <w:textAlignment w:val="center"/>
              <w:rPr>
                <w:rFonts w:hint="eastAsia" w:ascii="仿宋_GB2312" w:hAnsi="仿宋_GB2312" w:eastAsia="仿宋_GB2312" w:cs="仿宋_GB2312"/>
                <w:i w:val="0"/>
                <w:iCs w:val="0"/>
                <w:color w:val="000000"/>
                <w:sz w:val="24"/>
                <w:szCs w:val="24"/>
                <w:highlight w:val="none"/>
                <w:u w:val="none"/>
                <w:shd w:val="clear" w:color="auto" w:fill="auto"/>
              </w:rPr>
            </w:pPr>
            <w:r>
              <w:rPr>
                <w:rFonts w:hint="eastAsia" w:ascii="仿宋_GB2312" w:hAnsi="仿宋_GB2312" w:eastAsia="仿宋_GB2312" w:cs="仿宋_GB2312"/>
                <w:i w:val="0"/>
                <w:iCs w:val="0"/>
                <w:color w:val="000000"/>
                <w:sz w:val="24"/>
                <w:szCs w:val="24"/>
                <w:highlight w:val="none"/>
                <w:u w:val="none"/>
                <w:shd w:val="clear" w:color="auto" w:fill="auto"/>
                <w:lang w:val="en-US" w:eastAsia="zh-CN"/>
              </w:rPr>
              <w:t>项目融资业务碳排放量（</w:t>
            </w:r>
            <m:oMath>
              <m:sSub>
                <m:sSubPr>
                  <m:ctrlPr>
                    <w:rPr>
                      <w:rFonts w:hint="eastAsia" w:ascii="Cambria Math" w:hAnsi="Cambria Math" w:eastAsia="仿宋_GB2312" w:cs="仿宋_GB2312"/>
                      <w:i w:val="0"/>
                      <w:iCs w:val="0"/>
                      <w:color w:val="000000"/>
                      <w:sz w:val="24"/>
                      <w:szCs w:val="24"/>
                      <w:highlight w:val="none"/>
                      <w:u w:val="none"/>
                      <w:shd w:val="clear" w:color="auto" w:fill="auto"/>
                      <w:lang w:val="en-US" w:eastAsia="zh-CN"/>
                    </w:rPr>
                  </m:ctrlPr>
                </m:sSubPr>
                <m:e>
                  <m:r>
                    <m:rPr>
                      <m:sty m:val="p"/>
                    </m:rPr>
                    <w:rPr>
                      <w:rFonts w:hint="eastAsia" w:ascii="Cambria Math" w:hAnsi="Cambria Math" w:eastAsia="仿宋_GB2312" w:cs="仿宋_GB2312"/>
                      <w:color w:val="000000"/>
                      <w:sz w:val="24"/>
                      <w:szCs w:val="24"/>
                      <w:highlight w:val="none"/>
                      <w:u w:val="none"/>
                      <w:shd w:val="clear" w:color="auto" w:fill="auto"/>
                      <w:lang w:val="en-US" w:eastAsia="zh-CN"/>
                    </w:rPr>
                    <m:t>tCO</m:t>
                  </m:r>
                  <m:ctrlPr>
                    <w:rPr>
                      <w:rFonts w:hint="eastAsia" w:ascii="Cambria Math" w:hAnsi="Cambria Math" w:eastAsia="仿宋_GB2312" w:cs="仿宋_GB2312"/>
                      <w:i w:val="0"/>
                      <w:iCs w:val="0"/>
                      <w:color w:val="000000"/>
                      <w:sz w:val="24"/>
                      <w:szCs w:val="24"/>
                      <w:highlight w:val="none"/>
                      <w:u w:val="none"/>
                      <w:shd w:val="clear" w:color="auto" w:fill="auto"/>
                      <w:lang w:val="en-US" w:eastAsia="zh-CN"/>
                    </w:rPr>
                  </m:ctrlPr>
                </m:e>
                <m:sub>
                  <m:r>
                    <m:rPr>
                      <m:sty m:val="p"/>
                    </m:rPr>
                    <w:rPr>
                      <w:rFonts w:hint="eastAsia" w:ascii="Cambria Math" w:hAnsi="Cambria Math" w:eastAsia="仿宋_GB2312" w:cs="仿宋_GB2312"/>
                      <w:color w:val="000000"/>
                      <w:sz w:val="24"/>
                      <w:szCs w:val="24"/>
                      <w:highlight w:val="none"/>
                      <w:u w:val="none"/>
                      <w:shd w:val="clear" w:color="auto" w:fill="auto"/>
                      <w:lang w:val="en-US" w:eastAsia="zh-CN"/>
                    </w:rPr>
                    <m:t>2</m:t>
                  </m:r>
                  <m:ctrlPr>
                    <w:rPr>
                      <w:rFonts w:hint="eastAsia" w:ascii="Cambria Math" w:hAnsi="Cambria Math" w:eastAsia="仿宋_GB2312" w:cs="仿宋_GB2312"/>
                      <w:i w:val="0"/>
                      <w:iCs w:val="0"/>
                      <w:color w:val="000000"/>
                      <w:sz w:val="24"/>
                      <w:szCs w:val="24"/>
                      <w:highlight w:val="none"/>
                      <w:u w:val="none"/>
                      <w:shd w:val="clear" w:color="auto" w:fill="auto"/>
                      <w:lang w:val="en-US" w:eastAsia="zh-CN"/>
                    </w:rPr>
                  </m:ctrlPr>
                </m:sub>
              </m:sSub>
              <m:r>
                <m:rPr>
                  <m:sty m:val="p"/>
                </m:rPr>
                <w:rPr>
                  <w:rFonts w:hint="eastAsia" w:ascii="Cambria Math" w:hAnsi="Cambria Math" w:eastAsia="仿宋_GB2312" w:cs="仿宋_GB2312"/>
                  <w:color w:val="000000"/>
                  <w:sz w:val="24"/>
                  <w:szCs w:val="24"/>
                  <w:highlight w:val="none"/>
                  <w:u w:val="none"/>
                  <w:shd w:val="clear" w:color="auto" w:fill="auto"/>
                  <w:lang w:val="en-US" w:eastAsia="zh-CN"/>
                </w:rPr>
                <m:t>e</m:t>
              </m:r>
            </m:oMath>
            <w:r>
              <w:rPr>
                <w:rFonts w:hint="eastAsia" w:ascii="仿宋_GB2312" w:hAnsi="仿宋_GB2312" w:eastAsia="仿宋_GB2312" w:cs="仿宋_GB2312"/>
                <w:i w:val="0"/>
                <w:iCs w:val="0"/>
                <w:color w:val="000000"/>
                <w:sz w:val="24"/>
                <w:szCs w:val="24"/>
                <w:highlight w:val="none"/>
                <w:u w:val="none"/>
                <w:shd w:val="clear" w:color="auto" w:fill="auto"/>
                <w:lang w:val="en-US" w:eastAsia="zh-CN"/>
              </w:rPr>
              <w:t>）</w:t>
            </w:r>
          </w:p>
        </w:tc>
        <w:tc>
          <w:tcPr>
            <w:tcW w:w="1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A31AF">
            <w:pPr>
              <w:keepNext w:val="0"/>
              <w:keepLines w:val="0"/>
              <w:widowControl/>
              <w:suppressLineNumbers w:val="0"/>
              <w:ind w:firstLine="0" w:firstLineChars="0"/>
              <w:jc w:val="center"/>
              <w:textAlignment w:val="center"/>
              <w:rPr>
                <w:rFonts w:hint="default" w:ascii="仿宋_GB2312" w:hAnsi="仿宋_GB2312" w:eastAsia="仿宋_GB2312" w:cs="仿宋_GB2312"/>
                <w:i w:val="0"/>
                <w:iCs w:val="0"/>
                <w:color w:val="000000"/>
                <w:sz w:val="24"/>
                <w:szCs w:val="24"/>
                <w:highlight w:val="none"/>
                <w:u w:val="none"/>
                <w:shd w:val="clear" w:color="auto" w:fill="auto"/>
                <w:lang w:val="en-US" w:eastAsia="zh-CN"/>
              </w:rPr>
            </w:pPr>
            <w:r>
              <w:rPr>
                <w:rFonts w:hint="eastAsia" w:ascii="仿宋_GB2312" w:hAnsi="仿宋_GB2312" w:eastAsia="仿宋_GB2312" w:cs="仿宋_GB2312"/>
                <w:i w:val="0"/>
                <w:iCs w:val="0"/>
                <w:color w:val="000000"/>
                <w:sz w:val="24"/>
                <w:szCs w:val="24"/>
                <w:highlight w:val="none"/>
                <w:u w:val="none"/>
                <w:shd w:val="clear" w:color="auto" w:fill="auto"/>
                <w:lang w:val="en-US" w:eastAsia="zh-CN"/>
              </w:rPr>
              <w:t>0</w:t>
            </w:r>
          </w:p>
        </w:tc>
      </w:tr>
      <w:tr w14:paraId="2588A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4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C007B">
            <w:pPr>
              <w:widowControl/>
              <w:ind w:firstLine="0" w:firstLineChars="0"/>
              <w:jc w:val="center"/>
              <w:rPr>
                <w:rFonts w:hint="eastAsia" w:ascii="仿宋_GB2312" w:hAnsi="仿宋_GB2312" w:eastAsia="仿宋_GB2312" w:cs="仿宋_GB2312"/>
                <w:b w:val="0"/>
                <w:bCs w:val="0"/>
                <w:i w:val="0"/>
                <w:iCs w:val="0"/>
                <w:color w:val="000000"/>
                <w:sz w:val="24"/>
                <w:szCs w:val="24"/>
                <w:highlight w:val="none"/>
                <w:u w:val="none"/>
                <w:shd w:val="clear" w:color="auto" w:fill="auto"/>
              </w:rPr>
            </w:pPr>
          </w:p>
        </w:tc>
        <w:tc>
          <w:tcPr>
            <w:tcW w:w="2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BEB16">
            <w:pPr>
              <w:keepNext w:val="0"/>
              <w:keepLines w:val="0"/>
              <w:widowControl/>
              <w:suppressLineNumbers w:val="0"/>
              <w:ind w:firstLine="0" w:firstLineChars="0"/>
              <w:jc w:val="center"/>
              <w:textAlignment w:val="center"/>
              <w:rPr>
                <w:rFonts w:hint="eastAsia" w:ascii="仿宋_GB2312" w:hAnsi="仿宋_GB2312" w:eastAsia="仿宋_GB2312" w:cs="仿宋_GB2312"/>
                <w:i w:val="0"/>
                <w:iCs w:val="0"/>
                <w:color w:val="000000"/>
                <w:sz w:val="24"/>
                <w:szCs w:val="24"/>
                <w:highlight w:val="none"/>
                <w:u w:val="none"/>
                <w:shd w:val="clear" w:color="auto" w:fill="auto"/>
              </w:rPr>
            </w:pPr>
            <w:r>
              <w:rPr>
                <w:rFonts w:hint="eastAsia" w:ascii="仿宋_GB2312" w:hAnsi="仿宋_GB2312" w:eastAsia="仿宋_GB2312" w:cs="仿宋_GB2312"/>
                <w:i w:val="0"/>
                <w:iCs w:val="0"/>
                <w:color w:val="000000"/>
                <w:sz w:val="24"/>
                <w:szCs w:val="24"/>
                <w:highlight w:val="none"/>
                <w:u w:val="none"/>
                <w:shd w:val="clear" w:color="auto" w:fill="auto"/>
                <w:lang w:val="en-US" w:eastAsia="zh-CN"/>
              </w:rPr>
              <w:t>非项目融资业务碳排放量（</w:t>
            </w:r>
            <m:oMath>
              <m:sSub>
                <m:sSubPr>
                  <m:ctrlPr>
                    <w:rPr>
                      <w:rFonts w:hint="default" w:ascii="Cambria Math" w:hAnsi="Cambria Math" w:cs="Times New Roman"/>
                      <w:kern w:val="2"/>
                      <w:sz w:val="24"/>
                      <w:szCs w:val="24"/>
                      <w:highlight w:val="none"/>
                      <w:shd w:val="clear" w:color="auto" w:fill="auto"/>
                      <w:lang w:val="en-US" w:eastAsia="zh-CN" w:bidi="ar-SA"/>
                    </w:rPr>
                  </m:ctrlPr>
                </m:sSubPr>
                <m:e>
                  <m:r>
                    <m:rPr>
                      <m:sty m:val="p"/>
                    </m:rPr>
                    <w:rPr>
                      <w:rFonts w:hint="default" w:ascii="Cambria Math" w:hAnsi="Cambria Math" w:cs="Times New Roman"/>
                      <w:kern w:val="2"/>
                      <w:sz w:val="24"/>
                      <w:szCs w:val="24"/>
                      <w:highlight w:val="none"/>
                      <w:shd w:val="clear" w:color="auto" w:fill="auto"/>
                      <w:lang w:val="en-US" w:eastAsia="zh-CN" w:bidi="ar-SA"/>
                    </w:rPr>
                    <m:t>tCO</m:t>
                  </m:r>
                  <m:ctrlPr>
                    <w:rPr>
                      <w:rFonts w:hint="default" w:ascii="Cambria Math" w:hAnsi="Cambria Math" w:cs="Times New Roman"/>
                      <w:kern w:val="2"/>
                      <w:sz w:val="24"/>
                      <w:szCs w:val="24"/>
                      <w:highlight w:val="none"/>
                      <w:shd w:val="clear" w:color="auto" w:fill="auto"/>
                      <w:lang w:val="en-US" w:eastAsia="zh-CN" w:bidi="ar-SA"/>
                    </w:rPr>
                  </m:ctrlPr>
                </m:e>
                <m:sub>
                  <m:r>
                    <m:rPr>
                      <m:sty m:val="p"/>
                    </m:rPr>
                    <w:rPr>
                      <w:rFonts w:hint="default" w:ascii="Cambria Math" w:hAnsi="Cambria Math" w:cs="Times New Roman"/>
                      <w:kern w:val="2"/>
                      <w:sz w:val="24"/>
                      <w:szCs w:val="24"/>
                      <w:highlight w:val="none"/>
                      <w:shd w:val="clear" w:color="auto" w:fill="auto"/>
                      <w:vertAlign w:val="subscript"/>
                      <w:lang w:val="en-US" w:eastAsia="zh-CN" w:bidi="ar-SA"/>
                    </w:rPr>
                    <m:t>2</m:t>
                  </m:r>
                  <m:ctrlPr>
                    <w:rPr>
                      <w:rFonts w:hint="default" w:ascii="Cambria Math" w:hAnsi="Cambria Math" w:cs="Times New Roman"/>
                      <w:kern w:val="2"/>
                      <w:sz w:val="24"/>
                      <w:szCs w:val="24"/>
                      <w:highlight w:val="none"/>
                      <w:shd w:val="clear" w:color="auto" w:fill="auto"/>
                      <w:lang w:val="en-US" w:eastAsia="zh-CN" w:bidi="ar-SA"/>
                    </w:rPr>
                  </m:ctrlPr>
                </m:sub>
              </m:sSub>
              <m:r>
                <m:rPr>
                  <m:sty m:val="p"/>
                </m:rPr>
                <w:rPr>
                  <w:rFonts w:hint="default" w:ascii="Cambria Math" w:hAnsi="Cambria Math" w:cs="Times New Roman"/>
                  <w:kern w:val="2"/>
                  <w:sz w:val="24"/>
                  <w:szCs w:val="24"/>
                  <w:highlight w:val="none"/>
                  <w:shd w:val="clear" w:color="auto" w:fill="auto"/>
                  <w:lang w:val="en-US" w:eastAsia="zh-CN" w:bidi="ar-SA"/>
                </w:rPr>
                <m:t>e</m:t>
              </m:r>
            </m:oMath>
            <w:r>
              <w:rPr>
                <w:rFonts w:hint="eastAsia" w:ascii="仿宋_GB2312" w:hAnsi="仿宋_GB2312" w:eastAsia="仿宋_GB2312" w:cs="仿宋_GB2312"/>
                <w:i w:val="0"/>
                <w:iCs w:val="0"/>
                <w:color w:val="000000"/>
                <w:sz w:val="24"/>
                <w:szCs w:val="24"/>
                <w:highlight w:val="none"/>
                <w:u w:val="none"/>
                <w:shd w:val="clear" w:color="auto" w:fill="auto"/>
                <w:lang w:val="en-US" w:eastAsia="zh-CN"/>
              </w:rPr>
              <w:t>）</w:t>
            </w:r>
          </w:p>
        </w:tc>
        <w:tc>
          <w:tcPr>
            <w:tcW w:w="1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C57F7">
            <w:pPr>
              <w:keepNext w:val="0"/>
              <w:keepLines w:val="0"/>
              <w:widowControl/>
              <w:suppressLineNumbers w:val="0"/>
              <w:ind w:firstLine="0" w:firstLineChars="0"/>
              <w:jc w:val="center"/>
              <w:textAlignment w:val="center"/>
              <w:rPr>
                <w:rFonts w:hint="default" w:ascii="仿宋_GB2312" w:hAnsi="仿宋_GB2312" w:eastAsia="仿宋_GB2312" w:cs="仿宋_GB2312"/>
                <w:i w:val="0"/>
                <w:iCs w:val="0"/>
                <w:color w:val="000000"/>
                <w:sz w:val="24"/>
                <w:szCs w:val="24"/>
                <w:highlight w:val="none"/>
                <w:u w:val="none"/>
                <w:shd w:val="clear" w:color="auto" w:fill="auto"/>
                <w:lang w:val="en-US" w:eastAsia="zh-CN"/>
              </w:rPr>
            </w:pPr>
            <w:r>
              <w:rPr>
                <w:rFonts w:hint="eastAsia" w:ascii="仿宋_GB2312" w:hAnsi="仿宋_GB2312" w:eastAsia="仿宋_GB2312" w:cs="仿宋_GB2312"/>
                <w:i w:val="0"/>
                <w:iCs w:val="0"/>
                <w:color w:val="000000"/>
                <w:sz w:val="24"/>
                <w:szCs w:val="24"/>
                <w:highlight w:val="none"/>
                <w:u w:val="none"/>
                <w:shd w:val="clear" w:color="auto" w:fill="auto"/>
                <w:lang w:val="en-US" w:eastAsia="zh-CN"/>
              </w:rPr>
              <w:t>877.41</w:t>
            </w:r>
          </w:p>
        </w:tc>
      </w:tr>
    </w:tbl>
    <w:p w14:paraId="651251CD">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520" w:lineRule="exact"/>
        <w:jc w:val="both"/>
        <w:textAlignment w:val="auto"/>
        <w:rPr>
          <w:rFonts w:hint="eastAsia" w:ascii="仿宋_GB2312" w:hAnsi="仿宋_GB2312" w:eastAsia="仿宋_GB2312" w:cs="仿宋_GB2312"/>
          <w:b w:val="0"/>
          <w:bCs w:val="0"/>
          <w:i w:val="0"/>
          <w:iCs w:val="0"/>
          <w:color w:val="000000"/>
          <w:kern w:val="0"/>
          <w:sz w:val="24"/>
          <w:szCs w:val="24"/>
          <w:highlight w:val="none"/>
          <w:u w:val="none"/>
          <w:shd w:val="clear" w:color="auto" w:fill="auto"/>
          <w:lang w:val="en-US" w:eastAsia="zh-CN" w:bidi="ar"/>
        </w:rPr>
      </w:pPr>
    </w:p>
    <w:tbl>
      <w:tblPr>
        <w:tblStyle w:val="17"/>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66"/>
        <w:gridCol w:w="1534"/>
        <w:gridCol w:w="1800"/>
        <w:gridCol w:w="1720"/>
        <w:gridCol w:w="1599"/>
      </w:tblGrid>
      <w:tr w14:paraId="5FAE7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5" w:hRule="atLeast"/>
          <w:jc w:val="center"/>
        </w:trPr>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CDA53">
            <w:pPr>
              <w:pStyle w:val="22"/>
              <w:keepNext w:val="0"/>
              <w:keepLines w:val="0"/>
              <w:pageBreakBefore w:val="0"/>
              <w:kinsoku/>
              <w:wordWrap/>
              <w:overflowPunct/>
              <w:topLinePunct w:val="0"/>
              <w:autoSpaceDE/>
              <w:autoSpaceDN/>
              <w:bidi w:val="0"/>
              <w:adjustRightInd/>
              <w:snapToGrid/>
              <w:spacing w:line="320" w:lineRule="exact"/>
              <w:jc w:val="center"/>
              <w:rPr>
                <w:rFonts w:hint="eastAsia" w:ascii="黑体" w:hAnsi="黑体" w:eastAsia="黑体" w:cs="黑体"/>
                <w:b w:val="0"/>
                <w:bCs w:val="0"/>
                <w:sz w:val="24"/>
                <w:szCs w:val="24"/>
                <w:highlight w:val="none"/>
                <w:shd w:val="clear" w:color="auto" w:fill="auto"/>
                <w:lang w:val="en-US" w:eastAsia="zh-CN"/>
              </w:rPr>
            </w:pPr>
            <w:r>
              <w:rPr>
                <w:rFonts w:hint="eastAsia" w:ascii="黑体" w:hAnsi="黑体" w:eastAsia="黑体" w:cs="黑体"/>
                <w:b w:val="0"/>
                <w:bCs w:val="0"/>
                <w:sz w:val="24"/>
                <w:szCs w:val="24"/>
                <w:highlight w:val="none"/>
                <w:shd w:val="clear" w:color="auto" w:fill="auto"/>
                <w:lang w:val="en-US" w:eastAsia="zh-CN"/>
              </w:rPr>
              <w:t>机构名称</w:t>
            </w:r>
          </w:p>
        </w:tc>
        <w:tc>
          <w:tcPr>
            <w:tcW w:w="9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331C3">
            <w:pPr>
              <w:pStyle w:val="22"/>
              <w:keepNext w:val="0"/>
              <w:keepLines w:val="0"/>
              <w:pageBreakBefore w:val="0"/>
              <w:kinsoku/>
              <w:wordWrap/>
              <w:overflowPunct/>
              <w:topLinePunct w:val="0"/>
              <w:autoSpaceDE/>
              <w:autoSpaceDN/>
              <w:bidi w:val="0"/>
              <w:adjustRightInd/>
              <w:snapToGrid/>
              <w:spacing w:line="320" w:lineRule="exact"/>
              <w:jc w:val="center"/>
              <w:rPr>
                <w:rFonts w:hint="eastAsia" w:ascii="黑体" w:hAnsi="黑体" w:eastAsia="黑体" w:cs="黑体"/>
                <w:b w:val="0"/>
                <w:bCs w:val="0"/>
                <w:sz w:val="24"/>
                <w:szCs w:val="24"/>
                <w:highlight w:val="none"/>
                <w:shd w:val="clear" w:color="auto" w:fill="auto"/>
                <w:lang w:val="en-US" w:eastAsia="zh-CN"/>
              </w:rPr>
            </w:pPr>
            <w:r>
              <w:rPr>
                <w:rFonts w:hint="eastAsia" w:ascii="黑体" w:hAnsi="黑体" w:eastAsia="黑体" w:cs="黑体"/>
                <w:b w:val="0"/>
                <w:bCs w:val="0"/>
                <w:sz w:val="24"/>
                <w:szCs w:val="24"/>
                <w:highlight w:val="none"/>
                <w:shd w:val="clear" w:color="auto" w:fill="auto"/>
                <w:lang w:val="en-US" w:eastAsia="zh-CN"/>
              </w:rPr>
              <w:t>核算对象</w:t>
            </w:r>
          </w:p>
          <w:p w14:paraId="27BDD37F">
            <w:pPr>
              <w:pStyle w:val="22"/>
              <w:keepNext w:val="0"/>
              <w:keepLines w:val="0"/>
              <w:pageBreakBefore w:val="0"/>
              <w:kinsoku/>
              <w:wordWrap/>
              <w:overflowPunct/>
              <w:topLinePunct w:val="0"/>
              <w:autoSpaceDE/>
              <w:autoSpaceDN/>
              <w:bidi w:val="0"/>
              <w:adjustRightInd/>
              <w:snapToGrid/>
              <w:spacing w:line="320" w:lineRule="exact"/>
              <w:jc w:val="center"/>
              <w:rPr>
                <w:rFonts w:hint="eastAsia" w:ascii="黑体" w:hAnsi="黑体" w:eastAsia="黑体" w:cs="黑体"/>
                <w:b w:val="0"/>
                <w:bCs w:val="0"/>
                <w:sz w:val="24"/>
                <w:szCs w:val="24"/>
                <w:highlight w:val="none"/>
                <w:shd w:val="clear" w:color="auto" w:fill="auto"/>
                <w:lang w:val="en-US" w:eastAsia="zh-CN"/>
              </w:rPr>
            </w:pPr>
            <w:r>
              <w:rPr>
                <w:rFonts w:hint="eastAsia" w:ascii="黑体" w:hAnsi="黑体" w:eastAsia="黑体" w:cs="黑体"/>
                <w:b w:val="0"/>
                <w:bCs w:val="0"/>
                <w:sz w:val="24"/>
                <w:szCs w:val="24"/>
                <w:highlight w:val="none"/>
                <w:shd w:val="clear" w:color="auto" w:fill="auto"/>
                <w:lang w:val="en-US" w:eastAsia="zh-CN"/>
              </w:rPr>
              <w:t>数量</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A3BA4">
            <w:pPr>
              <w:pStyle w:val="22"/>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b w:val="0"/>
                <w:bCs w:val="0"/>
                <w:sz w:val="24"/>
                <w:szCs w:val="24"/>
                <w:highlight w:val="none"/>
                <w:shd w:val="clear" w:color="auto" w:fill="auto"/>
                <w:lang w:val="en-US" w:eastAsia="zh-CN"/>
              </w:rPr>
            </w:pPr>
            <w:r>
              <w:rPr>
                <w:rFonts w:hint="eastAsia" w:ascii="黑体" w:hAnsi="黑体" w:eastAsia="黑体" w:cs="黑体"/>
                <w:b w:val="0"/>
                <w:bCs w:val="0"/>
                <w:sz w:val="24"/>
                <w:szCs w:val="24"/>
                <w:highlight w:val="none"/>
                <w:shd w:val="clear" w:color="auto" w:fill="auto"/>
                <w:lang w:val="en-US" w:eastAsia="zh-CN"/>
              </w:rPr>
              <w:t>纳入核算的贷款金额（亿元）</w:t>
            </w:r>
          </w:p>
        </w:tc>
        <w:tc>
          <w:tcPr>
            <w:tcW w:w="1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FA3C4">
            <w:pPr>
              <w:pStyle w:val="22"/>
              <w:keepNext w:val="0"/>
              <w:keepLines w:val="0"/>
              <w:pageBreakBefore w:val="0"/>
              <w:kinsoku/>
              <w:wordWrap/>
              <w:overflowPunct/>
              <w:topLinePunct w:val="0"/>
              <w:autoSpaceDE/>
              <w:autoSpaceDN/>
              <w:bidi w:val="0"/>
              <w:adjustRightInd/>
              <w:snapToGrid/>
              <w:spacing w:line="320" w:lineRule="exact"/>
              <w:jc w:val="center"/>
              <w:rPr>
                <w:rFonts w:hint="eastAsia" w:ascii="黑体" w:hAnsi="黑体" w:eastAsia="黑体" w:cs="黑体"/>
                <w:b w:val="0"/>
                <w:bCs w:val="0"/>
                <w:sz w:val="24"/>
                <w:szCs w:val="24"/>
                <w:highlight w:val="none"/>
                <w:shd w:val="clear" w:color="auto" w:fill="auto"/>
                <w:lang w:val="en-US" w:eastAsia="zh-CN"/>
              </w:rPr>
            </w:pPr>
            <w:r>
              <w:rPr>
                <w:rFonts w:hint="eastAsia" w:ascii="黑体" w:hAnsi="黑体" w:eastAsia="黑体" w:cs="黑体"/>
                <w:b w:val="0"/>
                <w:bCs w:val="0"/>
                <w:sz w:val="24"/>
                <w:szCs w:val="24"/>
                <w:highlight w:val="none"/>
                <w:shd w:val="clear" w:color="auto" w:fill="auto"/>
                <w:lang w:val="en-US" w:eastAsia="zh-CN"/>
              </w:rPr>
              <w:t>排放量</w:t>
            </w:r>
          </w:p>
          <w:p w14:paraId="39690BF4">
            <w:pPr>
              <w:pStyle w:val="22"/>
              <w:keepNext w:val="0"/>
              <w:keepLines w:val="0"/>
              <w:pageBreakBefore w:val="0"/>
              <w:kinsoku/>
              <w:wordWrap/>
              <w:overflowPunct/>
              <w:topLinePunct w:val="0"/>
              <w:autoSpaceDE/>
              <w:autoSpaceDN/>
              <w:bidi w:val="0"/>
              <w:adjustRightInd/>
              <w:snapToGrid/>
              <w:spacing w:line="320" w:lineRule="exact"/>
              <w:jc w:val="center"/>
              <w:rPr>
                <w:rFonts w:hint="eastAsia" w:ascii="黑体" w:hAnsi="黑体" w:eastAsia="黑体" w:cs="黑体"/>
                <w:b w:val="0"/>
                <w:bCs w:val="0"/>
                <w:sz w:val="24"/>
                <w:szCs w:val="24"/>
                <w:highlight w:val="none"/>
                <w:shd w:val="clear" w:color="auto" w:fill="auto"/>
                <w:lang w:val="en-US" w:eastAsia="zh-CN"/>
              </w:rPr>
            </w:pPr>
            <w:r>
              <w:rPr>
                <w:rFonts w:hint="eastAsia" w:ascii="黑体" w:hAnsi="黑体" w:eastAsia="黑体" w:cs="黑体"/>
                <w:i w:val="0"/>
                <w:iCs w:val="0"/>
                <w:color w:val="000000"/>
                <w:sz w:val="24"/>
                <w:szCs w:val="24"/>
                <w:highlight w:val="none"/>
                <w:u w:val="none"/>
                <w:shd w:val="clear" w:color="auto" w:fill="auto"/>
                <w:lang w:val="en-US" w:eastAsia="zh-CN"/>
              </w:rPr>
              <w:t>（</w:t>
            </w:r>
            <m:oMath>
              <m:sSub>
                <m:sSubPr>
                  <m:ctrlPr>
                    <w:rPr>
                      <w:rFonts w:hint="eastAsia" w:ascii="Cambria Math" w:hAnsi="Cambria Math" w:eastAsia="黑体" w:cs="黑体"/>
                      <w:i w:val="0"/>
                      <w:iCs w:val="0"/>
                      <w:color w:val="000000"/>
                      <w:sz w:val="24"/>
                      <w:szCs w:val="24"/>
                      <w:highlight w:val="none"/>
                      <w:u w:val="none"/>
                      <w:shd w:val="clear" w:color="auto" w:fill="auto"/>
                      <w:lang w:val="en-US" w:eastAsia="zh-CN"/>
                    </w:rPr>
                  </m:ctrlPr>
                </m:sSubPr>
                <m:e>
                  <m:r>
                    <m:rPr>
                      <m:sty m:val="p"/>
                    </m:rPr>
                    <w:rPr>
                      <w:rFonts w:hint="eastAsia" w:ascii="Cambria Math" w:hAnsi="Cambria Math" w:eastAsia="黑体" w:cs="黑体"/>
                      <w:color w:val="000000"/>
                      <w:sz w:val="24"/>
                      <w:szCs w:val="24"/>
                      <w:highlight w:val="none"/>
                      <w:u w:val="none"/>
                      <w:shd w:val="clear" w:color="auto" w:fill="auto"/>
                      <w:lang w:val="en-US" w:eastAsia="zh-CN"/>
                    </w:rPr>
                    <m:t>tCO</m:t>
                  </m:r>
                  <m:ctrlPr>
                    <w:rPr>
                      <w:rFonts w:hint="eastAsia" w:ascii="Cambria Math" w:hAnsi="Cambria Math" w:eastAsia="黑体" w:cs="黑体"/>
                      <w:i w:val="0"/>
                      <w:iCs w:val="0"/>
                      <w:color w:val="000000"/>
                      <w:sz w:val="24"/>
                      <w:szCs w:val="24"/>
                      <w:highlight w:val="none"/>
                      <w:u w:val="none"/>
                      <w:shd w:val="clear" w:color="auto" w:fill="auto"/>
                      <w:lang w:val="en-US" w:eastAsia="zh-CN"/>
                    </w:rPr>
                  </m:ctrlPr>
                </m:e>
                <m:sub>
                  <m:r>
                    <m:rPr>
                      <m:sty m:val="p"/>
                    </m:rPr>
                    <w:rPr>
                      <w:rFonts w:hint="eastAsia" w:ascii="Cambria Math" w:hAnsi="Cambria Math" w:eastAsia="黑体" w:cs="黑体"/>
                      <w:color w:val="000000"/>
                      <w:sz w:val="24"/>
                      <w:szCs w:val="24"/>
                      <w:highlight w:val="none"/>
                      <w:u w:val="none"/>
                      <w:shd w:val="clear" w:color="auto" w:fill="auto"/>
                      <w:lang w:val="en-US" w:eastAsia="zh-CN"/>
                    </w:rPr>
                    <m:t>2</m:t>
                  </m:r>
                  <m:ctrlPr>
                    <w:rPr>
                      <w:rFonts w:hint="eastAsia" w:ascii="Cambria Math" w:hAnsi="Cambria Math" w:eastAsia="黑体" w:cs="黑体"/>
                      <w:i w:val="0"/>
                      <w:iCs w:val="0"/>
                      <w:color w:val="000000"/>
                      <w:sz w:val="24"/>
                      <w:szCs w:val="24"/>
                      <w:highlight w:val="none"/>
                      <w:u w:val="none"/>
                      <w:shd w:val="clear" w:color="auto" w:fill="auto"/>
                      <w:lang w:val="en-US" w:eastAsia="zh-CN"/>
                    </w:rPr>
                  </m:ctrlPr>
                </m:sub>
              </m:sSub>
              <m:r>
                <m:rPr>
                  <m:sty m:val="p"/>
                </m:rPr>
                <w:rPr>
                  <w:rFonts w:hint="eastAsia" w:ascii="Cambria Math" w:hAnsi="Cambria Math" w:eastAsia="黑体" w:cs="黑体"/>
                  <w:color w:val="000000"/>
                  <w:sz w:val="24"/>
                  <w:szCs w:val="24"/>
                  <w:highlight w:val="none"/>
                  <w:u w:val="none"/>
                  <w:shd w:val="clear" w:color="auto" w:fill="auto"/>
                  <w:lang w:val="en-US" w:eastAsia="zh-CN"/>
                </w:rPr>
                <m:t>e</m:t>
              </m:r>
            </m:oMath>
            <w:r>
              <w:rPr>
                <w:rFonts w:hint="eastAsia" w:ascii="黑体" w:hAnsi="黑体" w:eastAsia="黑体" w:cs="黑体"/>
                <w:i w:val="0"/>
                <w:iCs w:val="0"/>
                <w:color w:val="000000"/>
                <w:sz w:val="24"/>
                <w:szCs w:val="24"/>
                <w:highlight w:val="none"/>
                <w:u w:val="none"/>
                <w:shd w:val="clear" w:color="auto" w:fill="auto"/>
                <w:lang w:val="en-US" w:eastAsia="zh-CN"/>
              </w:rPr>
              <w:t>）</w:t>
            </w:r>
          </w:p>
        </w:tc>
        <w:tc>
          <w:tcPr>
            <w:tcW w:w="9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7B7D1">
            <w:pPr>
              <w:pStyle w:val="22"/>
              <w:keepNext w:val="0"/>
              <w:keepLines w:val="0"/>
              <w:pageBreakBefore w:val="0"/>
              <w:kinsoku/>
              <w:wordWrap/>
              <w:overflowPunct/>
              <w:topLinePunct w:val="0"/>
              <w:autoSpaceDE/>
              <w:autoSpaceDN/>
              <w:bidi w:val="0"/>
              <w:adjustRightInd/>
              <w:snapToGrid/>
              <w:spacing w:line="320" w:lineRule="exact"/>
              <w:jc w:val="center"/>
              <w:rPr>
                <w:rFonts w:hint="eastAsia" w:ascii="黑体" w:hAnsi="黑体" w:eastAsia="黑体" w:cs="黑体"/>
                <w:b w:val="0"/>
                <w:bCs w:val="0"/>
                <w:sz w:val="24"/>
                <w:szCs w:val="24"/>
                <w:highlight w:val="none"/>
                <w:shd w:val="clear" w:color="auto" w:fill="auto"/>
                <w:lang w:val="en-US" w:eastAsia="zh-CN"/>
              </w:rPr>
            </w:pPr>
            <w:r>
              <w:rPr>
                <w:rFonts w:hint="eastAsia" w:ascii="黑体" w:hAnsi="黑体" w:eastAsia="黑体" w:cs="黑体"/>
                <w:b w:val="0"/>
                <w:bCs w:val="0"/>
                <w:sz w:val="24"/>
                <w:szCs w:val="24"/>
                <w:highlight w:val="none"/>
                <w:shd w:val="clear" w:color="auto" w:fill="auto"/>
                <w:lang w:val="en-US" w:eastAsia="zh-CN"/>
              </w:rPr>
              <w:t>数据质量</w:t>
            </w:r>
          </w:p>
          <w:p w14:paraId="3999F590">
            <w:pPr>
              <w:pStyle w:val="22"/>
              <w:keepNext w:val="0"/>
              <w:keepLines w:val="0"/>
              <w:pageBreakBefore w:val="0"/>
              <w:kinsoku/>
              <w:wordWrap/>
              <w:overflowPunct/>
              <w:topLinePunct w:val="0"/>
              <w:autoSpaceDE/>
              <w:autoSpaceDN/>
              <w:bidi w:val="0"/>
              <w:adjustRightInd/>
              <w:snapToGrid/>
              <w:spacing w:line="320" w:lineRule="exact"/>
              <w:jc w:val="center"/>
              <w:rPr>
                <w:rFonts w:hint="eastAsia" w:ascii="黑体" w:hAnsi="黑体" w:eastAsia="黑体" w:cs="黑体"/>
                <w:b w:val="0"/>
                <w:bCs w:val="0"/>
                <w:sz w:val="24"/>
                <w:szCs w:val="24"/>
                <w:highlight w:val="none"/>
                <w:shd w:val="clear" w:color="auto" w:fill="auto"/>
                <w:lang w:val="en-US" w:eastAsia="zh-CN"/>
              </w:rPr>
            </w:pPr>
            <w:r>
              <w:rPr>
                <w:rFonts w:hint="eastAsia" w:ascii="黑体" w:hAnsi="黑体" w:eastAsia="黑体" w:cs="黑体"/>
                <w:b w:val="0"/>
                <w:bCs w:val="0"/>
                <w:sz w:val="24"/>
                <w:szCs w:val="24"/>
                <w:highlight w:val="none"/>
                <w:shd w:val="clear" w:color="auto" w:fill="auto"/>
                <w:lang w:val="en-US" w:eastAsia="zh-CN"/>
              </w:rPr>
              <w:t>等次</w:t>
            </w:r>
          </w:p>
        </w:tc>
      </w:tr>
      <w:tr w14:paraId="7F654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88D6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仿宋_GB2312" w:hAnsi="仿宋_GB2312" w:eastAsia="仿宋_GB2312" w:cs="仿宋_GB2312"/>
                <w:b w:val="0"/>
                <w:bCs w:val="0"/>
                <w:i w:val="0"/>
                <w:iCs w:val="0"/>
                <w:color w:val="000000"/>
                <w:sz w:val="24"/>
                <w:szCs w:val="24"/>
                <w:highlight w:val="none"/>
                <w:u w:val="none"/>
                <w:shd w:val="clear" w:color="auto" w:fill="auto"/>
              </w:rPr>
            </w:pPr>
            <w:r>
              <w:rPr>
                <w:rFonts w:hint="eastAsia" w:ascii="仿宋_GB2312" w:hAnsi="仿宋_GB2312" w:eastAsia="仿宋_GB2312" w:cs="仿宋_GB2312"/>
                <w:b w:val="0"/>
                <w:bCs w:val="0"/>
                <w:i w:val="0"/>
                <w:iCs w:val="0"/>
                <w:color w:val="000000"/>
                <w:sz w:val="24"/>
                <w:szCs w:val="24"/>
                <w:highlight w:val="none"/>
                <w:u w:val="none"/>
                <w:shd w:val="clear" w:color="auto" w:fill="auto"/>
                <w:lang w:val="en-US" w:eastAsia="zh-CN"/>
              </w:rPr>
              <w:t>盐城农商银行</w:t>
            </w:r>
          </w:p>
        </w:tc>
        <w:tc>
          <w:tcPr>
            <w:tcW w:w="9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BD3F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仿宋_GB2312" w:hAnsi="仿宋_GB2312" w:eastAsia="仿宋_GB2312" w:cs="仿宋_GB2312"/>
                <w:i w:val="0"/>
                <w:iCs w:val="0"/>
                <w:color w:val="000000"/>
                <w:sz w:val="24"/>
                <w:szCs w:val="24"/>
                <w:highlight w:val="none"/>
                <w:u w:val="none"/>
                <w:shd w:val="clear" w:color="auto" w:fill="auto"/>
                <w:lang w:val="en-US"/>
              </w:rPr>
            </w:pPr>
            <w:r>
              <w:rPr>
                <w:rFonts w:hint="eastAsia" w:ascii="仿宋_GB2312" w:hAnsi="仿宋_GB2312" w:eastAsia="仿宋_GB2312" w:cs="仿宋_GB2312"/>
                <w:i w:val="0"/>
                <w:iCs w:val="0"/>
                <w:color w:val="000000"/>
                <w:sz w:val="24"/>
                <w:szCs w:val="24"/>
                <w:highlight w:val="none"/>
                <w:u w:val="none"/>
                <w:shd w:val="clear" w:color="auto" w:fill="auto"/>
                <w:lang w:val="en-US" w:eastAsia="zh-CN"/>
              </w:rPr>
              <w:t>7</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1517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仿宋_GB2312" w:hAnsi="仿宋_GB2312" w:eastAsia="仿宋_GB2312" w:cs="仿宋_GB2312"/>
                <w:i w:val="0"/>
                <w:iCs w:val="0"/>
                <w:color w:val="000000"/>
                <w:sz w:val="24"/>
                <w:szCs w:val="24"/>
                <w:highlight w:val="none"/>
                <w:u w:val="none"/>
                <w:shd w:val="clear" w:color="auto" w:fill="auto"/>
                <w:lang w:val="en-US" w:eastAsia="zh-CN"/>
              </w:rPr>
            </w:pPr>
            <w:r>
              <w:rPr>
                <w:rFonts w:hint="eastAsia" w:ascii="仿宋_GB2312" w:hAnsi="仿宋_GB2312" w:eastAsia="仿宋_GB2312" w:cs="仿宋_GB2312"/>
                <w:i w:val="0"/>
                <w:iCs w:val="0"/>
                <w:color w:val="000000"/>
                <w:sz w:val="24"/>
                <w:szCs w:val="24"/>
                <w:highlight w:val="none"/>
                <w:u w:val="none"/>
                <w:shd w:val="clear" w:color="auto" w:fill="auto"/>
                <w:lang w:val="en-US" w:eastAsia="zh-CN"/>
              </w:rPr>
              <w:t>0.51</w:t>
            </w:r>
          </w:p>
        </w:tc>
        <w:tc>
          <w:tcPr>
            <w:tcW w:w="1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F5F5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仿宋_GB2312" w:hAnsi="仿宋_GB2312" w:eastAsia="仿宋_GB2312" w:cs="仿宋_GB2312"/>
                <w:i w:val="0"/>
                <w:iCs w:val="0"/>
                <w:color w:val="000000"/>
                <w:sz w:val="24"/>
                <w:szCs w:val="24"/>
                <w:highlight w:val="none"/>
                <w:u w:val="none"/>
                <w:shd w:val="clear" w:color="auto" w:fill="auto"/>
                <w:lang w:val="en-US" w:eastAsia="zh-CN"/>
              </w:rPr>
            </w:pPr>
            <w:r>
              <w:rPr>
                <w:rFonts w:hint="eastAsia" w:ascii="仿宋_GB2312" w:hAnsi="仿宋_GB2312" w:eastAsia="仿宋_GB2312" w:cs="仿宋_GB2312"/>
                <w:i w:val="0"/>
                <w:iCs w:val="0"/>
                <w:color w:val="000000"/>
                <w:sz w:val="24"/>
                <w:szCs w:val="24"/>
                <w:highlight w:val="none"/>
                <w:u w:val="none"/>
                <w:shd w:val="clear" w:color="auto" w:fill="auto"/>
                <w:lang w:val="en-US" w:eastAsia="zh-CN"/>
              </w:rPr>
              <w:t>877.41</w:t>
            </w:r>
          </w:p>
        </w:tc>
        <w:tc>
          <w:tcPr>
            <w:tcW w:w="9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E31B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仿宋_GB2312" w:hAnsi="仿宋_GB2312" w:eastAsia="仿宋_GB2312" w:cs="仿宋_GB2312"/>
                <w:i w:val="0"/>
                <w:iCs w:val="0"/>
                <w:color w:val="000000"/>
                <w:sz w:val="24"/>
                <w:szCs w:val="24"/>
                <w:highlight w:val="none"/>
                <w:u w:val="none"/>
                <w:shd w:val="clear" w:color="auto" w:fill="auto"/>
                <w:lang w:val="en-US" w:eastAsia="zh-CN"/>
              </w:rPr>
            </w:pPr>
            <w:r>
              <w:rPr>
                <w:rFonts w:hint="eastAsia" w:ascii="仿宋_GB2312" w:hAnsi="仿宋_GB2312" w:eastAsia="仿宋_GB2312" w:cs="仿宋_GB2312"/>
                <w:i w:val="0"/>
                <w:iCs w:val="0"/>
                <w:color w:val="000000"/>
                <w:sz w:val="24"/>
                <w:szCs w:val="24"/>
                <w:highlight w:val="none"/>
                <w:u w:val="none"/>
                <w:shd w:val="clear" w:color="auto" w:fill="auto"/>
                <w:lang w:val="en-US" w:eastAsia="zh-CN"/>
              </w:rPr>
              <w:t>B+</w:t>
            </w:r>
          </w:p>
        </w:tc>
      </w:tr>
    </w:tbl>
    <w:p w14:paraId="518E4B7C">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520" w:lineRule="exact"/>
        <w:jc w:val="both"/>
        <w:textAlignment w:val="auto"/>
        <w:rPr>
          <w:rFonts w:hint="eastAsia" w:ascii="黑体" w:hAnsi="黑体" w:eastAsia="黑体" w:cs="黑体"/>
          <w:b w:val="0"/>
          <w:bCs w:val="0"/>
          <w:color w:val="000000" w:themeColor="text1"/>
          <w:kern w:val="2"/>
          <w:sz w:val="32"/>
          <w:szCs w:val="22"/>
          <w:highlight w:val="none"/>
          <w:shd w:val="clear" w:color="auto" w:fill="auto"/>
          <w:lang w:val="en-US" w:eastAsia="zh-CN" w:bidi="ar-SA"/>
          <w14:textFill>
            <w14:solidFill>
              <w14:schemeClr w14:val="tx1"/>
            </w14:solidFill>
          </w14:textFill>
        </w:rPr>
      </w:pPr>
      <w:r>
        <w:rPr>
          <w:rFonts w:hint="eastAsia" w:ascii="仿宋_GB2312" w:hAnsi="仿宋_GB2312" w:eastAsia="仿宋_GB2312" w:cs="仿宋_GB2312"/>
          <w:b w:val="0"/>
          <w:bCs w:val="0"/>
          <w:i w:val="0"/>
          <w:iCs w:val="0"/>
          <w:color w:val="000000"/>
          <w:kern w:val="0"/>
          <w:sz w:val="24"/>
          <w:szCs w:val="24"/>
          <w:highlight w:val="none"/>
          <w:u w:val="none"/>
          <w:shd w:val="clear" w:color="auto" w:fill="auto"/>
          <w:lang w:val="en-US" w:eastAsia="zh-CN" w:bidi="ar"/>
        </w:rPr>
        <w:t>注：八大高碳行业包括电力、建材、钢铁、有色、石化、化工、造纸、民航。</w:t>
      </w:r>
    </w:p>
    <w:p w14:paraId="3355B3F0">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520" w:lineRule="exact"/>
        <w:ind w:firstLine="640" w:firstLineChars="200"/>
        <w:jc w:val="both"/>
        <w:textAlignment w:val="auto"/>
        <w:rPr>
          <w:rFonts w:hint="eastAsia" w:ascii="黑体" w:hAnsi="黑体" w:eastAsia="黑体" w:cs="黑体"/>
          <w:b w:val="0"/>
          <w:bCs w:val="0"/>
          <w:color w:val="000000" w:themeColor="text1"/>
          <w:kern w:val="2"/>
          <w:sz w:val="32"/>
          <w:szCs w:val="22"/>
          <w:highlight w:val="none"/>
          <w:shd w:val="clear" w:color="auto" w:fill="auto"/>
          <w:lang w:val="en-US" w:eastAsia="zh-CN" w:bidi="ar-SA"/>
          <w14:textFill>
            <w14:solidFill>
              <w14:schemeClr w14:val="tx1"/>
            </w14:solidFill>
          </w14:textFill>
        </w:rPr>
      </w:pPr>
      <w:r>
        <w:rPr>
          <w:rFonts w:hint="eastAsia" w:ascii="黑体" w:hAnsi="黑体" w:eastAsia="黑体" w:cs="黑体"/>
          <w:b w:val="0"/>
          <w:bCs w:val="0"/>
          <w:color w:val="000000" w:themeColor="text1"/>
          <w:kern w:val="2"/>
          <w:sz w:val="32"/>
          <w:szCs w:val="22"/>
          <w:highlight w:val="none"/>
          <w:shd w:val="clear" w:color="auto" w:fill="auto"/>
          <w:lang w:val="en-US" w:eastAsia="zh-CN" w:bidi="ar-SA"/>
          <w14:textFill>
            <w14:solidFill>
              <w14:schemeClr w14:val="tx1"/>
            </w14:solidFill>
          </w14:textFill>
        </w:rPr>
        <w:t>（二）投融资环境影响的测算与表达</w:t>
      </w:r>
    </w:p>
    <w:p w14:paraId="04553E9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3" w:firstLineChars="200"/>
        <w:jc w:val="both"/>
        <w:textAlignment w:val="auto"/>
        <w:rPr>
          <w:rFonts w:hint="eastAsia" w:ascii="仿宋_GB2312" w:hAnsi="仿宋_GB2312" w:eastAsia="仿宋_GB2312" w:cs="仿宋_GB2312"/>
          <w:b/>
          <w:bCs/>
          <w:color w:val="000000" w:themeColor="text1"/>
          <w:kern w:val="0"/>
          <w:sz w:val="32"/>
          <w:szCs w:val="32"/>
          <w:highlight w:val="none"/>
          <w:shd w:val="clear" w:color="auto" w:fill="auto"/>
          <w:lang w:val="en-US" w:eastAsia="zh-CN" w:bidi="ar"/>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shd w:val="clear" w:color="auto" w:fill="auto"/>
          <w:lang w:val="en-US" w:eastAsia="zh-CN" w:bidi="ar"/>
          <w14:textFill>
            <w14:solidFill>
              <w14:schemeClr w14:val="tx1"/>
            </w14:solidFill>
          </w14:textFill>
        </w:rPr>
        <w:t>1. 绿色投融资活动的环境效益</w:t>
      </w:r>
    </w:p>
    <w:p w14:paraId="5E8ABC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行绿色投融资环境效益测算依据为《绿色信贷项目节能减排量测算指引》。项目环境效益测算所需数据均来自于项目批复文件、可研报告等文件及企业上报基础数据，有关计算系数来自《绿色信贷项目节能减排量测算指引》，测算依据如下：</w:t>
      </w:r>
    </w:p>
    <w:p w14:paraId="638DB0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m:oMathPara>
        <m:oMath>
          <m:r>
            <m:rPr>
              <m:sty m:val="p"/>
            </m:rPr>
            <w:rPr>
              <w:rFonts w:hint="eastAsia" w:ascii="Cambria Math" w:hAnsi="Cambria Math" w:eastAsia="仿宋_GB2312" w:cs="仿宋_GB2312"/>
              <w:sz w:val="32"/>
              <w:szCs w:val="32"/>
              <w:lang w:val="en-US" w:eastAsia="zh-CN"/>
            </w:rPr>
            <m:t>贷款形成的年节能减排量=</m:t>
          </m:r>
          <m:f>
            <m:fPr>
              <m:ctrlPr>
                <w:rPr>
                  <w:rFonts w:hint="eastAsia" w:ascii="Cambria Math" w:hAnsi="Cambria Math" w:eastAsia="仿宋_GB2312" w:cs="仿宋_GB2312"/>
                  <w:sz w:val="32"/>
                  <w:szCs w:val="32"/>
                  <w:lang w:val="en-US" w:eastAsia="zh-CN"/>
                </w:rPr>
              </m:ctrlPr>
            </m:fPr>
            <m:num>
              <m:r>
                <m:rPr>
                  <m:sty m:val="p"/>
                </m:rPr>
                <w:rPr>
                  <w:rFonts w:hint="eastAsia" w:ascii="Cambria Math" w:hAnsi="Cambria Math" w:eastAsia="仿宋_GB2312" w:cs="仿宋_GB2312"/>
                  <w:sz w:val="32"/>
                  <w:szCs w:val="32"/>
                  <w:lang w:val="en-US" w:eastAsia="zh-CN"/>
                </w:rPr>
                <m:t>本行对项目的贷款余额</m:t>
              </m:r>
              <m:ctrlPr>
                <w:rPr>
                  <w:rFonts w:hint="eastAsia" w:ascii="Cambria Math" w:hAnsi="Cambria Math" w:eastAsia="仿宋_GB2312" w:cs="仿宋_GB2312"/>
                  <w:sz w:val="32"/>
                  <w:szCs w:val="32"/>
                  <w:lang w:val="en-US" w:eastAsia="zh-CN"/>
                </w:rPr>
              </m:ctrlPr>
            </m:num>
            <m:den>
              <m:r>
                <m:rPr>
                  <m:sty m:val="p"/>
                </m:rPr>
                <w:rPr>
                  <w:rFonts w:hint="eastAsia" w:ascii="Cambria Math" w:hAnsi="Cambria Math" w:eastAsia="仿宋_GB2312" w:cs="仿宋_GB2312"/>
                  <w:sz w:val="32"/>
                  <w:szCs w:val="32"/>
                  <w:lang w:val="en-US" w:eastAsia="zh-CN"/>
                </w:rPr>
                <m:t>项目总投资</m:t>
              </m:r>
              <m:ctrlPr>
                <w:rPr>
                  <w:rFonts w:hint="eastAsia" w:ascii="Cambria Math" w:hAnsi="Cambria Math" w:eastAsia="仿宋_GB2312" w:cs="仿宋_GB2312"/>
                  <w:sz w:val="32"/>
                  <w:szCs w:val="32"/>
                  <w:lang w:val="en-US" w:eastAsia="zh-CN"/>
                </w:rPr>
              </m:ctrlPr>
            </m:den>
          </m:f>
          <m:r>
            <m:rPr>
              <m:sty m:val="p"/>
            </m:rPr>
            <w:rPr>
              <w:rFonts w:hint="eastAsia" w:ascii="Cambria Math" w:hAnsi="Cambria Math" w:eastAsia="仿宋_GB2312" w:cs="仿宋_GB2312"/>
              <w:sz w:val="32"/>
              <w:szCs w:val="32"/>
              <w:lang w:val="en-US" w:eastAsia="zh-CN"/>
            </w:rPr>
            <m:t>×项目建成后的年节能减排量</m:t>
          </m:r>
        </m:oMath>
      </m:oMathPara>
    </w:p>
    <w:p w14:paraId="6378F4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标准煤节约量</w:t>
      </w:r>
    </w:p>
    <w:p w14:paraId="2E7011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①</w:t>
      </w:r>
      <w:r>
        <w:rPr>
          <w:rFonts w:hint="eastAsia" w:ascii="仿宋_GB2312" w:hAnsi="仿宋_GB2312" w:eastAsia="仿宋_GB2312" w:cs="仿宋_GB2312"/>
          <w:sz w:val="32"/>
          <w:szCs w:val="32"/>
          <w:lang w:val="en-US" w:eastAsia="zh-CN"/>
        </w:rPr>
        <w:t xml:space="preserve"> </w:t>
      </w:r>
      <m:oMath>
        <m:r>
          <m:rPr>
            <m:sty m:val="p"/>
          </m:rPr>
          <w:rPr>
            <w:rFonts w:hint="default" w:ascii="Cambria Math" w:hAnsi="Cambria Math" w:eastAsia="仿宋_GB2312" w:cs="仿宋_GB2312"/>
            <w:sz w:val="32"/>
            <w:szCs w:val="32"/>
            <w:lang w:val="en-US" w:eastAsia="zh-CN"/>
          </w:rPr>
          <m:t>E</m:t>
        </m:r>
        <m:r>
          <m:rPr>
            <m:sty m:val="p"/>
          </m:rPr>
          <w:rPr>
            <w:rFonts w:hint="eastAsia" w:ascii="Cambria Math" w:hAnsi="Cambria Math" w:eastAsia="仿宋_GB2312" w:cs="仿宋_GB2312"/>
            <w:sz w:val="32"/>
            <w:szCs w:val="32"/>
            <w:lang w:val="en-US" w:eastAsia="zh-CN"/>
          </w:rPr>
          <m:t>=</m:t>
        </m:r>
        <m:sSub>
          <m:sSubPr>
            <m:ctrlPr>
              <w:rPr>
                <w:rFonts w:hint="eastAsia" w:ascii="Cambria Math" w:hAnsi="Cambria Math" w:eastAsia="仿宋_GB2312" w:cs="仿宋_GB2312"/>
                <w:sz w:val="32"/>
                <w:szCs w:val="32"/>
                <w:lang w:val="en-US" w:eastAsia="zh-CN"/>
              </w:rPr>
            </m:ctrlPr>
          </m:sSubPr>
          <m:e>
            <m:r>
              <m:rPr>
                <m:sty m:val="p"/>
              </m:rPr>
              <w:rPr>
                <w:rFonts w:hint="default" w:ascii="Cambria Math" w:hAnsi="Cambria Math" w:eastAsia="仿宋_GB2312" w:cs="仿宋_GB2312"/>
                <w:sz w:val="32"/>
                <w:szCs w:val="32"/>
                <w:lang w:val="en-US" w:eastAsia="zh-CN"/>
              </w:rPr>
              <m:t>w</m:t>
            </m:r>
            <m:ctrlPr>
              <w:rPr>
                <w:rFonts w:hint="eastAsia" w:ascii="Cambria Math" w:hAnsi="Cambria Math" w:eastAsia="仿宋_GB2312" w:cs="仿宋_GB2312"/>
                <w:sz w:val="32"/>
                <w:szCs w:val="32"/>
                <w:lang w:val="en-US" w:eastAsia="zh-CN"/>
              </w:rPr>
            </m:ctrlPr>
          </m:e>
          <m:sub>
            <m:r>
              <m:rPr>
                <m:sty m:val="p"/>
              </m:rPr>
              <w:rPr>
                <w:rFonts w:hint="default" w:ascii="Cambria Math" w:hAnsi="Cambria Math" w:eastAsia="仿宋_GB2312" w:cs="仿宋_GB2312"/>
                <w:sz w:val="32"/>
                <w:szCs w:val="32"/>
                <w:lang w:val="en-US" w:eastAsia="zh-CN"/>
              </w:rPr>
              <m:t>g</m:t>
            </m:r>
            <m:ctrlPr>
              <w:rPr>
                <w:rFonts w:hint="eastAsia" w:ascii="Cambria Math" w:hAnsi="Cambria Math" w:eastAsia="仿宋_GB2312" w:cs="仿宋_GB2312"/>
                <w:sz w:val="32"/>
                <w:szCs w:val="32"/>
                <w:lang w:val="en-US" w:eastAsia="zh-CN"/>
              </w:rPr>
            </m:ctrlPr>
          </m:sub>
        </m:sSub>
        <m:r>
          <m:rPr>
            <m:sty m:val="p"/>
          </m:rPr>
          <w:rPr>
            <w:rFonts w:hint="eastAsia" w:ascii="Cambria Math" w:hAnsi="Cambria Math" w:eastAsia="仿宋_GB2312" w:cs="仿宋_GB2312"/>
            <w:sz w:val="32"/>
            <w:szCs w:val="32"/>
            <w:lang w:val="en-US" w:eastAsia="zh-CN"/>
          </w:rPr>
          <m:t>×</m:t>
        </m:r>
        <m:sSub>
          <m:sSubPr>
            <m:ctrlPr>
              <w:rPr>
                <w:rFonts w:hint="eastAsia" w:ascii="Cambria Math" w:hAnsi="Cambria Math" w:eastAsia="仿宋_GB2312" w:cs="仿宋_GB2312"/>
                <w:sz w:val="32"/>
                <w:szCs w:val="32"/>
                <w:lang w:val="en-US" w:eastAsia="zh-CN"/>
              </w:rPr>
            </m:ctrlPr>
          </m:sSubPr>
          <m:e>
            <m:r>
              <m:rPr>
                <m:sty m:val="p"/>
              </m:rPr>
              <w:rPr>
                <w:rFonts w:hint="default" w:ascii="Cambria Math" w:hAnsi="Cambria Math" w:eastAsia="仿宋_GB2312" w:cs="仿宋_GB2312"/>
                <w:sz w:val="32"/>
                <w:szCs w:val="32"/>
                <w:lang w:val="en-US" w:eastAsia="zh-CN"/>
              </w:rPr>
              <m:t>b</m:t>
            </m:r>
            <m:ctrlPr>
              <w:rPr>
                <w:rFonts w:hint="eastAsia" w:ascii="Cambria Math" w:hAnsi="Cambria Math" w:eastAsia="仿宋_GB2312" w:cs="仿宋_GB2312"/>
                <w:sz w:val="32"/>
                <w:szCs w:val="32"/>
                <w:lang w:val="en-US" w:eastAsia="zh-CN"/>
              </w:rPr>
            </m:ctrlPr>
          </m:e>
          <m:sub>
            <m:r>
              <m:rPr>
                <m:sty m:val="p"/>
              </m:rPr>
              <w:rPr>
                <w:rFonts w:hint="default" w:ascii="Cambria Math" w:hAnsi="Cambria Math" w:eastAsia="仿宋_GB2312" w:cs="仿宋_GB2312"/>
                <w:sz w:val="32"/>
                <w:szCs w:val="32"/>
                <w:lang w:val="en-US" w:eastAsia="zh-CN"/>
              </w:rPr>
              <m:t>ag</m:t>
            </m:r>
            <m:ctrlPr>
              <w:rPr>
                <w:rFonts w:hint="eastAsia" w:ascii="Cambria Math" w:hAnsi="Cambria Math" w:eastAsia="仿宋_GB2312" w:cs="仿宋_GB2312"/>
                <w:sz w:val="32"/>
                <w:szCs w:val="32"/>
                <w:lang w:val="en-US" w:eastAsia="zh-CN"/>
              </w:rPr>
            </m:ctrlPr>
          </m:sub>
        </m:sSub>
        <m:r>
          <m:rPr>
            <m:sty m:val="p"/>
          </m:rPr>
          <w:rPr>
            <w:rFonts w:hint="eastAsia" w:ascii="Cambria Math" w:hAnsi="Cambria Math" w:eastAsia="仿宋_GB2312" w:cs="仿宋_GB2312"/>
            <w:sz w:val="32"/>
            <w:szCs w:val="32"/>
            <w:lang w:val="en-US" w:eastAsia="zh-CN"/>
          </w:rPr>
          <m:t>×</m:t>
        </m:r>
        <m:r>
          <m:rPr>
            <m:sty m:val="p"/>
          </m:rPr>
          <w:rPr>
            <w:rFonts w:hint="default" w:ascii="Cambria Math" w:hAnsi="Cambria Math" w:eastAsia="仿宋_GB2312" w:cs="仿宋_GB2312"/>
            <w:sz w:val="32"/>
            <w:szCs w:val="32"/>
            <w:lang w:val="en-US" w:eastAsia="zh-CN"/>
          </w:rPr>
          <m:t>10+Q</m:t>
        </m:r>
        <m:r>
          <m:rPr>
            <m:sty m:val="p"/>
          </m:rPr>
          <w:rPr>
            <w:rFonts w:hint="eastAsia" w:ascii="Cambria Math" w:hAnsi="Cambria Math" w:eastAsia="仿宋_GB2312" w:cs="仿宋_GB2312"/>
            <w:sz w:val="32"/>
            <w:szCs w:val="32"/>
            <w:lang w:val="en-US" w:eastAsia="zh-CN"/>
          </w:rPr>
          <m:t>×</m:t>
        </m:r>
        <m:sSub>
          <m:sSubPr>
            <m:ctrlPr>
              <w:rPr>
                <w:rFonts w:hint="eastAsia" w:ascii="Cambria Math" w:hAnsi="Cambria Math" w:eastAsia="仿宋_GB2312" w:cs="仿宋_GB2312"/>
                <w:sz w:val="32"/>
                <w:szCs w:val="32"/>
                <w:lang w:val="en-US" w:eastAsia="zh-CN"/>
              </w:rPr>
            </m:ctrlPr>
          </m:sSubPr>
          <m:e>
            <m:r>
              <m:rPr>
                <m:sty m:val="p"/>
              </m:rPr>
              <w:rPr>
                <w:rFonts w:hint="default" w:ascii="Cambria Math" w:hAnsi="Cambria Math" w:eastAsia="仿宋_GB2312" w:cs="仿宋_GB2312"/>
                <w:sz w:val="32"/>
                <w:szCs w:val="32"/>
                <w:lang w:val="en-US" w:eastAsia="zh-CN"/>
              </w:rPr>
              <m:t>b</m:t>
            </m:r>
            <m:ctrlPr>
              <w:rPr>
                <w:rFonts w:hint="eastAsia" w:ascii="Cambria Math" w:hAnsi="Cambria Math" w:eastAsia="仿宋_GB2312" w:cs="仿宋_GB2312"/>
                <w:sz w:val="32"/>
                <w:szCs w:val="32"/>
                <w:lang w:val="en-US" w:eastAsia="zh-CN"/>
              </w:rPr>
            </m:ctrlPr>
          </m:e>
          <m:sub>
            <m:r>
              <m:rPr>
                <m:sty m:val="p"/>
              </m:rPr>
              <w:rPr>
                <w:rFonts w:hint="default" w:ascii="Cambria Math" w:hAnsi="Cambria Math" w:eastAsia="仿宋_GB2312" w:cs="仿宋_GB2312"/>
                <w:sz w:val="32"/>
                <w:szCs w:val="32"/>
                <w:lang w:val="en-US" w:eastAsia="zh-CN"/>
              </w:rPr>
              <m:t>ar</m:t>
            </m:r>
            <m:ctrlPr>
              <w:rPr>
                <w:rFonts w:hint="eastAsia" w:ascii="Cambria Math" w:hAnsi="Cambria Math" w:eastAsia="仿宋_GB2312" w:cs="仿宋_GB2312"/>
                <w:sz w:val="32"/>
                <w:szCs w:val="32"/>
                <w:lang w:val="en-US" w:eastAsia="zh-CN"/>
              </w:rPr>
            </m:ctrlPr>
          </m:sub>
        </m:sSub>
        <m:r>
          <m:rPr>
            <m:sty m:val="p"/>
          </m:rPr>
          <w:rPr>
            <w:rFonts w:hint="eastAsia" w:ascii="Cambria Math" w:hAnsi="Cambria Math" w:eastAsia="仿宋_GB2312" w:cs="仿宋_GB2312"/>
            <w:sz w:val="32"/>
            <w:szCs w:val="32"/>
            <w:lang w:val="en-US" w:eastAsia="zh-CN"/>
          </w:rPr>
          <m:t>×</m:t>
        </m:r>
        <m:sSup>
          <m:sSupPr>
            <m:ctrlPr>
              <w:rPr>
                <w:rFonts w:hint="eastAsia" w:ascii="Cambria Math" w:hAnsi="Cambria Math" w:eastAsia="仿宋_GB2312" w:cs="仿宋_GB2312"/>
                <w:sz w:val="32"/>
                <w:szCs w:val="32"/>
                <w:lang w:val="en-US" w:eastAsia="zh-CN"/>
              </w:rPr>
            </m:ctrlPr>
          </m:sSupPr>
          <m:e>
            <m:r>
              <m:rPr>
                <m:sty m:val="p"/>
              </m:rPr>
              <w:rPr>
                <w:rFonts w:hint="default" w:ascii="Cambria Math" w:hAnsi="Cambria Math" w:eastAsia="仿宋_GB2312" w:cs="仿宋_GB2312"/>
                <w:sz w:val="32"/>
                <w:szCs w:val="32"/>
                <w:lang w:val="en-US" w:eastAsia="zh-CN"/>
              </w:rPr>
              <m:t>10</m:t>
            </m:r>
            <m:ctrlPr>
              <w:rPr>
                <w:rFonts w:hint="eastAsia" w:ascii="Cambria Math" w:hAnsi="Cambria Math" w:eastAsia="仿宋_GB2312" w:cs="仿宋_GB2312"/>
                <w:sz w:val="32"/>
                <w:szCs w:val="32"/>
                <w:lang w:val="en-US" w:eastAsia="zh-CN"/>
              </w:rPr>
            </m:ctrlPr>
          </m:e>
          <m:sup>
            <m:r>
              <m:rPr>
                <m:sty m:val="p"/>
              </m:rPr>
              <w:rPr>
                <w:rFonts w:hint="default" w:ascii="Cambria Math" w:hAnsi="Cambria Math" w:eastAsia="仿宋_GB2312" w:cs="仿宋_GB2312"/>
                <w:sz w:val="32"/>
                <w:szCs w:val="32"/>
                <w:lang w:val="en-US" w:eastAsia="zh-CN"/>
              </w:rPr>
              <m:t>3</m:t>
            </m:r>
            <m:ctrlPr>
              <w:rPr>
                <w:rFonts w:hint="eastAsia" w:ascii="Cambria Math" w:hAnsi="Cambria Math" w:eastAsia="仿宋_GB2312" w:cs="仿宋_GB2312"/>
                <w:sz w:val="32"/>
                <w:szCs w:val="32"/>
                <w:lang w:val="en-US" w:eastAsia="zh-CN"/>
              </w:rPr>
            </m:ctrlPr>
          </m:sup>
        </m:sSup>
      </m:oMath>
    </w:p>
    <w:p w14:paraId="2883D1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注：本公式适用于太阳能发电、风电、水电及生物质能发电、供热项目，不包括太阳能光热利用项目，如测算项目无供热量，公式中项目供热量数据取值为零。式中：</w:t>
      </w:r>
    </w:p>
    <w:p w14:paraId="7E6F38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m:oMath>
        <m:r>
          <m:rPr>
            <m:sty m:val="p"/>
          </m:rPr>
          <w:rPr>
            <w:rFonts w:hint="default" w:ascii="Cambria Math" w:hAnsi="Cambria Math" w:eastAsia="仿宋_GB2312" w:cs="仿宋_GB2312"/>
            <w:sz w:val="32"/>
            <w:szCs w:val="32"/>
            <w:lang w:val="en-US" w:eastAsia="zh-CN"/>
          </w:rPr>
          <m:t>E</m:t>
        </m:r>
      </m:oMath>
      <w:r>
        <w:rPr>
          <w:rFonts w:hint="eastAsia" w:ascii="仿宋_GB2312" w:hAnsi="仿宋_GB2312" w:eastAsia="仿宋_GB2312" w:cs="仿宋_GB2312"/>
          <w:sz w:val="32"/>
          <w:szCs w:val="32"/>
          <w:lang w:val="en-US" w:eastAsia="zh-CN"/>
        </w:rPr>
        <w:t>--标准煤节约量，单位：吨标准煤；</w:t>
      </w:r>
    </w:p>
    <w:p w14:paraId="071E05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m:oMath>
        <m:sSub>
          <m:sSubPr>
            <m:ctrlPr>
              <w:rPr>
                <w:rFonts w:hint="eastAsia" w:ascii="Cambria Math" w:hAnsi="Cambria Math" w:eastAsia="仿宋_GB2312" w:cs="仿宋_GB2312"/>
                <w:sz w:val="32"/>
                <w:szCs w:val="32"/>
                <w:lang w:val="en-US" w:eastAsia="zh-CN"/>
              </w:rPr>
            </m:ctrlPr>
          </m:sSubPr>
          <m:e>
            <m:r>
              <m:rPr>
                <m:sty m:val="p"/>
              </m:rPr>
              <w:rPr>
                <w:rFonts w:hint="default" w:ascii="Cambria Math" w:hAnsi="Cambria Math" w:eastAsia="仿宋_GB2312" w:cs="仿宋_GB2312"/>
                <w:sz w:val="32"/>
                <w:szCs w:val="32"/>
                <w:lang w:val="en-US" w:eastAsia="zh-CN"/>
              </w:rPr>
              <m:t>w</m:t>
            </m:r>
            <m:ctrlPr>
              <w:rPr>
                <w:rFonts w:hint="eastAsia" w:ascii="Cambria Math" w:hAnsi="Cambria Math" w:eastAsia="仿宋_GB2312" w:cs="仿宋_GB2312"/>
                <w:sz w:val="32"/>
                <w:szCs w:val="32"/>
                <w:lang w:val="en-US" w:eastAsia="zh-CN"/>
              </w:rPr>
            </m:ctrlPr>
          </m:e>
          <m:sub>
            <m:r>
              <m:rPr>
                <m:sty m:val="p"/>
              </m:rPr>
              <w:rPr>
                <w:rFonts w:hint="default" w:ascii="Cambria Math" w:hAnsi="Cambria Math" w:eastAsia="仿宋_GB2312" w:cs="仿宋_GB2312"/>
                <w:sz w:val="32"/>
                <w:szCs w:val="32"/>
                <w:lang w:val="en-US" w:eastAsia="zh-CN"/>
              </w:rPr>
              <m:t>g</m:t>
            </m:r>
            <m:ctrlPr>
              <w:rPr>
                <w:rFonts w:hint="eastAsia" w:ascii="Cambria Math" w:hAnsi="Cambria Math" w:eastAsia="仿宋_GB2312" w:cs="仿宋_GB2312"/>
                <w:sz w:val="32"/>
                <w:szCs w:val="32"/>
                <w:lang w:val="en-US" w:eastAsia="zh-CN"/>
              </w:rPr>
            </m:ctrlPr>
          </m:sub>
        </m:sSub>
      </m:oMath>
      <w:r>
        <w:rPr>
          <w:rFonts w:hint="eastAsia" w:ascii="仿宋_GB2312" w:hAnsi="仿宋_GB2312" w:eastAsia="仿宋_GB2312" w:cs="仿宋_GB2312"/>
          <w:sz w:val="32"/>
          <w:szCs w:val="32"/>
          <w:lang w:val="en-US" w:eastAsia="zh-CN"/>
        </w:rPr>
        <w:t>--项目年供电量，单位：万千瓦时；</w:t>
      </w:r>
    </w:p>
    <w:p w14:paraId="76BF92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m:oMath>
        <m:sSub>
          <m:sSubPr>
            <m:ctrlPr>
              <w:rPr>
                <w:rFonts w:hint="eastAsia" w:ascii="Cambria Math" w:hAnsi="Cambria Math" w:eastAsia="仿宋_GB2312" w:cs="仿宋_GB2312"/>
                <w:sz w:val="32"/>
                <w:szCs w:val="32"/>
                <w:lang w:val="en-US" w:eastAsia="zh-CN"/>
              </w:rPr>
            </m:ctrlPr>
          </m:sSubPr>
          <m:e>
            <m:r>
              <m:rPr>
                <m:sty m:val="p"/>
              </m:rPr>
              <w:rPr>
                <w:rFonts w:hint="default" w:ascii="Cambria Math" w:hAnsi="Cambria Math" w:eastAsia="仿宋_GB2312" w:cs="仿宋_GB2312"/>
                <w:sz w:val="32"/>
                <w:szCs w:val="32"/>
                <w:lang w:val="en-US" w:eastAsia="zh-CN"/>
              </w:rPr>
              <m:t>b</m:t>
            </m:r>
            <m:ctrlPr>
              <w:rPr>
                <w:rFonts w:hint="eastAsia" w:ascii="Cambria Math" w:hAnsi="Cambria Math" w:eastAsia="仿宋_GB2312" w:cs="仿宋_GB2312"/>
                <w:sz w:val="32"/>
                <w:szCs w:val="32"/>
                <w:lang w:val="en-US" w:eastAsia="zh-CN"/>
              </w:rPr>
            </m:ctrlPr>
          </m:e>
          <m:sub>
            <m:r>
              <m:rPr>
                <m:sty m:val="p"/>
              </m:rPr>
              <w:rPr>
                <w:rFonts w:hint="default" w:ascii="Cambria Math" w:hAnsi="Cambria Math" w:eastAsia="仿宋_GB2312" w:cs="仿宋_GB2312"/>
                <w:sz w:val="32"/>
                <w:szCs w:val="32"/>
                <w:lang w:val="en-US" w:eastAsia="zh-CN"/>
              </w:rPr>
              <m:t>ag</m:t>
            </m:r>
            <m:ctrlPr>
              <w:rPr>
                <w:rFonts w:hint="eastAsia" w:ascii="Cambria Math" w:hAnsi="Cambria Math" w:eastAsia="仿宋_GB2312" w:cs="仿宋_GB2312"/>
                <w:sz w:val="32"/>
                <w:szCs w:val="32"/>
                <w:lang w:val="en-US" w:eastAsia="zh-CN"/>
              </w:rPr>
            </m:ctrlPr>
          </m:sub>
        </m:sSub>
      </m:oMath>
      <w:r>
        <w:rPr>
          <w:rFonts w:hint="eastAsia" w:ascii="仿宋_GB2312" w:hAnsi="仿宋_GB2312" w:eastAsia="仿宋_GB2312" w:cs="仿宋_GB2312"/>
          <w:sz w:val="32"/>
          <w:szCs w:val="32"/>
          <w:lang w:val="en-US" w:eastAsia="zh-CN"/>
        </w:rPr>
        <w:t>--项目投产年度全国平均火电供电煤耗，单位为：千克/千瓦时；该数值取国家能源局发布的《2019年全国电力工业统计数据》0.307公斤标准煤/千瓦时。相关数据可查询国家能源局网站http://www.nea.gov.cn/；</w:t>
      </w:r>
    </w:p>
    <w:p w14:paraId="4657EB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m:oMath>
        <m:r>
          <m:rPr>
            <m:sty m:val="p"/>
          </m:rPr>
          <w:rPr>
            <w:rFonts w:hint="default" w:ascii="Cambria Math" w:hAnsi="Cambria Math" w:eastAsia="仿宋_GB2312" w:cs="仿宋_GB2312"/>
            <w:sz w:val="32"/>
            <w:szCs w:val="32"/>
            <w:lang w:val="en-US" w:eastAsia="zh-CN"/>
          </w:rPr>
          <m:t>Q</m:t>
        </m:r>
      </m:oMath>
      <w:r>
        <w:rPr>
          <w:rFonts w:hint="eastAsia" w:ascii="仿宋_GB2312" w:hAnsi="仿宋_GB2312" w:eastAsia="仿宋_GB2312" w:cs="仿宋_GB2312"/>
          <w:sz w:val="32"/>
          <w:szCs w:val="32"/>
          <w:lang w:val="en-US" w:eastAsia="zh-CN"/>
        </w:rPr>
        <w:t>--项目年供热量，单位：百万吉焦；</w:t>
      </w:r>
    </w:p>
    <w:p w14:paraId="475381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m:oMath>
        <m:sSub>
          <m:sSubPr>
            <m:ctrlPr>
              <w:rPr>
                <w:rFonts w:hint="eastAsia" w:ascii="Cambria Math" w:hAnsi="Cambria Math" w:eastAsia="仿宋_GB2312" w:cs="仿宋_GB2312"/>
                <w:sz w:val="32"/>
                <w:szCs w:val="32"/>
                <w:lang w:val="en-US" w:eastAsia="zh-CN"/>
              </w:rPr>
            </m:ctrlPr>
          </m:sSubPr>
          <m:e>
            <m:r>
              <m:rPr>
                <m:sty m:val="p"/>
              </m:rPr>
              <w:rPr>
                <w:rFonts w:hint="default" w:ascii="Cambria Math" w:hAnsi="Cambria Math" w:eastAsia="仿宋_GB2312" w:cs="仿宋_GB2312"/>
                <w:sz w:val="32"/>
                <w:szCs w:val="32"/>
                <w:lang w:val="en-US" w:eastAsia="zh-CN"/>
              </w:rPr>
              <m:t>b</m:t>
            </m:r>
            <m:ctrlPr>
              <w:rPr>
                <w:rFonts w:hint="eastAsia" w:ascii="Cambria Math" w:hAnsi="Cambria Math" w:eastAsia="仿宋_GB2312" w:cs="仿宋_GB2312"/>
                <w:sz w:val="32"/>
                <w:szCs w:val="32"/>
                <w:lang w:val="en-US" w:eastAsia="zh-CN"/>
              </w:rPr>
            </m:ctrlPr>
          </m:e>
          <m:sub>
            <m:r>
              <m:rPr>
                <m:sty m:val="p"/>
              </m:rPr>
              <w:rPr>
                <w:rFonts w:hint="default" w:ascii="Cambria Math" w:hAnsi="Cambria Math" w:eastAsia="仿宋_GB2312" w:cs="仿宋_GB2312"/>
                <w:sz w:val="32"/>
                <w:szCs w:val="32"/>
                <w:lang w:val="en-US" w:eastAsia="zh-CN"/>
              </w:rPr>
              <m:t>ar</m:t>
            </m:r>
            <m:ctrlPr>
              <w:rPr>
                <w:rFonts w:hint="eastAsia" w:ascii="Cambria Math" w:hAnsi="Cambria Math" w:eastAsia="仿宋_GB2312" w:cs="仿宋_GB2312"/>
                <w:sz w:val="32"/>
                <w:szCs w:val="32"/>
                <w:lang w:val="en-US" w:eastAsia="zh-CN"/>
              </w:rPr>
            </m:ctrlPr>
          </m:sub>
        </m:sSub>
      </m:oMath>
      <w:r>
        <w:rPr>
          <w:rFonts w:hint="eastAsia" w:ascii="仿宋_GB2312" w:hAnsi="仿宋_GB2312" w:eastAsia="仿宋_GB2312" w:cs="仿宋_GB2312"/>
          <w:sz w:val="32"/>
          <w:szCs w:val="32"/>
          <w:lang w:val="en-US" w:eastAsia="zh-CN"/>
        </w:rPr>
        <w:t>--锅炉房集中供热平均供热煤耗，单位：千克标煤/吉焦。缺省值取40千克标煤/吉焦</w:t>
      </w:r>
    </w:p>
    <w:p w14:paraId="1F7A86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②</w:t>
      </w:r>
      <w:r>
        <w:rPr>
          <w:rFonts w:hint="eastAsia" w:ascii="仿宋_GB2312" w:hAnsi="仿宋_GB2312" w:eastAsia="仿宋_GB2312" w:cs="仿宋_GB2312"/>
          <w:sz w:val="32"/>
          <w:szCs w:val="32"/>
          <w:lang w:val="en-US" w:eastAsia="zh-CN"/>
        </w:rPr>
        <w:t xml:space="preserve"> </w:t>
      </w:r>
      <m:oMath>
        <m:r>
          <m:rPr>
            <m:sty m:val="p"/>
          </m:rPr>
          <w:rPr>
            <w:rFonts w:hint="default" w:ascii="Cambria Math" w:hAnsi="Cambria Math" w:eastAsia="仿宋_GB2312" w:cs="仿宋_GB2312"/>
            <w:sz w:val="32"/>
            <w:szCs w:val="32"/>
            <w:lang w:val="en-US" w:eastAsia="zh-CN"/>
          </w:rPr>
          <m:t>E</m:t>
        </m:r>
        <m:r>
          <m:rPr>
            <m:sty m:val="p"/>
          </m:rPr>
          <w:rPr>
            <w:rFonts w:hint="eastAsia" w:ascii="Cambria Math" w:hAnsi="Cambria Math" w:eastAsia="仿宋_GB2312" w:cs="仿宋_GB2312"/>
            <w:sz w:val="32"/>
            <w:szCs w:val="32"/>
            <w:lang w:val="en-US" w:eastAsia="zh-CN"/>
          </w:rPr>
          <m:t>=</m:t>
        </m:r>
        <m:r>
          <m:rPr>
            <m:sty m:val="p"/>
          </m:rPr>
          <w:rPr>
            <w:rFonts w:hint="default" w:ascii="Cambria Math" w:hAnsi="Cambria Math" w:eastAsia="仿宋_GB2312" w:cs="仿宋_GB2312"/>
            <w:sz w:val="32"/>
            <w:szCs w:val="32"/>
            <w:lang w:val="en-US" w:eastAsia="zh-CN"/>
          </w:rPr>
          <m:t>A</m:t>
        </m:r>
        <m:r>
          <m:rPr>
            <m:sty m:val="p"/>
          </m:rPr>
          <w:rPr>
            <w:rFonts w:hint="eastAsia" w:ascii="Cambria Math" w:hAnsi="Cambria Math" w:eastAsia="仿宋_GB2312" w:cs="仿宋_GB2312"/>
            <w:sz w:val="32"/>
            <w:szCs w:val="32"/>
            <w:lang w:val="en-US" w:eastAsia="zh-CN"/>
          </w:rPr>
          <m:t>×α×</m:t>
        </m:r>
        <m:sSup>
          <m:sSupPr>
            <m:ctrlPr>
              <w:rPr>
                <w:rFonts w:hint="eastAsia" w:ascii="Cambria Math" w:hAnsi="Cambria Math" w:eastAsia="仿宋_GB2312" w:cs="仿宋_GB2312"/>
                <w:sz w:val="32"/>
                <w:szCs w:val="32"/>
                <w:lang w:val="en-US" w:eastAsia="zh-CN"/>
              </w:rPr>
            </m:ctrlPr>
          </m:sSupPr>
          <m:e>
            <m:r>
              <m:rPr>
                <m:sty m:val="p"/>
              </m:rPr>
              <w:rPr>
                <w:rFonts w:hint="default" w:ascii="Cambria Math" w:hAnsi="Cambria Math" w:eastAsia="仿宋_GB2312" w:cs="仿宋_GB2312"/>
                <w:sz w:val="32"/>
                <w:szCs w:val="32"/>
                <w:lang w:val="en-US" w:eastAsia="zh-CN"/>
              </w:rPr>
              <m:t>10</m:t>
            </m:r>
            <m:ctrlPr>
              <w:rPr>
                <w:rFonts w:hint="eastAsia" w:ascii="Cambria Math" w:hAnsi="Cambria Math" w:eastAsia="仿宋_GB2312" w:cs="仿宋_GB2312"/>
                <w:sz w:val="32"/>
                <w:szCs w:val="32"/>
                <w:lang w:val="en-US" w:eastAsia="zh-CN"/>
              </w:rPr>
            </m:ctrlPr>
          </m:e>
          <m:sup>
            <m:r>
              <m:rPr>
                <m:sty m:val="p"/>
              </m:rPr>
              <w:rPr>
                <w:rFonts w:hint="default" w:ascii="Cambria Math" w:hAnsi="Cambria Math" w:eastAsia="仿宋_GB2312" w:cs="仿宋_GB2312"/>
                <w:sz w:val="32"/>
                <w:szCs w:val="32"/>
                <w:lang w:val="en-US" w:eastAsia="zh-CN"/>
              </w:rPr>
              <m:t>4</m:t>
            </m:r>
            <m:ctrlPr>
              <w:rPr>
                <w:rFonts w:hint="eastAsia" w:ascii="Cambria Math" w:hAnsi="Cambria Math" w:eastAsia="仿宋_GB2312" w:cs="仿宋_GB2312"/>
                <w:sz w:val="32"/>
                <w:szCs w:val="32"/>
                <w:lang w:val="en-US" w:eastAsia="zh-CN"/>
              </w:rPr>
            </m:ctrlPr>
          </m:sup>
        </m:sSup>
      </m:oMath>
    </w:p>
    <w:p w14:paraId="4079A3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本公式适用于太阳能光热利用项目。式中：</w:t>
      </w:r>
    </w:p>
    <w:p w14:paraId="617F88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m:oMath>
        <m:r>
          <m:rPr>
            <m:sty m:val="p"/>
          </m:rPr>
          <w:rPr>
            <w:rFonts w:hint="default" w:ascii="Cambria Math" w:hAnsi="Cambria Math" w:eastAsia="仿宋_GB2312" w:cs="仿宋_GB2312"/>
            <w:sz w:val="32"/>
            <w:szCs w:val="32"/>
            <w:lang w:val="en-US" w:eastAsia="zh-CN"/>
          </w:rPr>
          <m:t>E</m:t>
        </m:r>
      </m:oMath>
      <w:r>
        <w:rPr>
          <w:rFonts w:hint="eastAsia" w:ascii="仿宋_GB2312" w:hAnsi="仿宋_GB2312" w:eastAsia="仿宋_GB2312" w:cs="仿宋_GB2312"/>
          <w:sz w:val="32"/>
          <w:szCs w:val="32"/>
          <w:lang w:val="en-US" w:eastAsia="zh-CN"/>
        </w:rPr>
        <w:t>--项目年标煤节约量，单位为：吨标准煤；</w:t>
      </w:r>
    </w:p>
    <w:p w14:paraId="774FC2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m:oMath>
        <m:r>
          <m:rPr>
            <m:sty m:val="p"/>
          </m:rPr>
          <w:rPr>
            <w:rFonts w:hint="default" w:ascii="Cambria Math" w:hAnsi="Cambria Math" w:eastAsia="仿宋_GB2312" w:cs="仿宋_GB2312"/>
            <w:sz w:val="32"/>
            <w:szCs w:val="32"/>
            <w:lang w:val="en-US" w:eastAsia="zh-CN"/>
          </w:rPr>
          <m:t>A</m:t>
        </m:r>
      </m:oMath>
      <w:r>
        <w:rPr>
          <w:rFonts w:hint="eastAsia" w:ascii="仿宋_GB2312" w:hAnsi="仿宋_GB2312" w:eastAsia="仿宋_GB2312" w:cs="仿宋_GB2312"/>
          <w:sz w:val="32"/>
          <w:szCs w:val="32"/>
          <w:lang w:val="en-US" w:eastAsia="zh-CN"/>
        </w:rPr>
        <w:t>--项目太阳能光热利用规模，单位为：万平方米；</w:t>
      </w:r>
    </w:p>
    <w:p w14:paraId="401E03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m:oMath>
        <m:r>
          <m:rPr>
            <m:sty m:val="p"/>
          </m:rPr>
          <w:rPr>
            <w:rFonts w:hint="eastAsia" w:ascii="Cambria Math" w:hAnsi="Cambria Math" w:eastAsia="仿宋_GB2312" w:cs="仿宋_GB2312"/>
            <w:sz w:val="32"/>
            <w:szCs w:val="32"/>
            <w:lang w:val="en-US" w:eastAsia="zh-CN"/>
          </w:rPr>
          <m:t>α</m:t>
        </m:r>
      </m:oMath>
      <w:r>
        <w:rPr>
          <w:rFonts w:hint="eastAsia" w:ascii="仿宋_GB2312" w:hAnsi="仿宋_GB2312" w:eastAsia="仿宋_GB2312" w:cs="仿宋_GB2312"/>
          <w:sz w:val="32"/>
          <w:szCs w:val="32"/>
          <w:lang w:val="en-US" w:eastAsia="zh-CN"/>
        </w:rPr>
        <w:t>--单位利用规模折算标煤量，单位为：吨标煤/平方米。对于太阳能热水项目缺省值取0.15吨标煤/平方米</w:t>
      </w:r>
    </w:p>
    <w:p w14:paraId="55EBE5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二氧化碳减排量</w:t>
      </w:r>
    </w:p>
    <w:p w14:paraId="55B5D6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m:oMathPara>
        <m:oMath>
          <m:sSub>
            <m:sSubPr>
              <m:ctrlPr>
                <w:rPr>
                  <w:rFonts w:hint="default" w:ascii="Cambria Math" w:hAnsi="Cambria Math" w:eastAsia="仿宋_GB2312" w:cs="仿宋_GB2312"/>
                  <w:sz w:val="32"/>
                  <w:szCs w:val="32"/>
                  <w:lang w:val="en-US" w:eastAsia="zh-CN"/>
                </w:rPr>
              </m:ctrlPr>
            </m:sSubPr>
            <m:e>
              <m:r>
                <m:rPr>
                  <m:sty m:val="p"/>
                </m:rPr>
                <w:rPr>
                  <w:rFonts w:hint="default" w:ascii="Cambria Math" w:hAnsi="Cambria Math" w:eastAsia="仿宋_GB2312" w:cs="仿宋_GB2312"/>
                  <w:sz w:val="32"/>
                  <w:szCs w:val="32"/>
                  <w:lang w:val="en-US" w:eastAsia="zh-CN"/>
                </w:rPr>
                <m:t>CO</m:t>
              </m:r>
              <m:ctrlPr>
                <w:rPr>
                  <w:rFonts w:hint="default" w:ascii="Cambria Math" w:hAnsi="Cambria Math" w:eastAsia="仿宋_GB2312" w:cs="仿宋_GB2312"/>
                  <w:sz w:val="32"/>
                  <w:szCs w:val="32"/>
                  <w:lang w:val="en-US" w:eastAsia="zh-CN"/>
                </w:rPr>
              </m:ctrlPr>
            </m:e>
            <m:sub>
              <m:r>
                <m:rPr>
                  <m:sty m:val="p"/>
                </m:rPr>
                <w:rPr>
                  <w:rFonts w:hint="default" w:ascii="Cambria Math" w:hAnsi="Cambria Math" w:eastAsia="仿宋_GB2312" w:cs="仿宋_GB2312"/>
                  <w:sz w:val="32"/>
                  <w:szCs w:val="32"/>
                  <w:lang w:val="en-US" w:eastAsia="zh-CN"/>
                </w:rPr>
                <m:t>2</m:t>
              </m:r>
              <m:ctrlPr>
                <w:rPr>
                  <w:rFonts w:hint="default" w:ascii="Cambria Math" w:hAnsi="Cambria Math" w:eastAsia="仿宋_GB2312" w:cs="仿宋_GB2312"/>
                  <w:sz w:val="32"/>
                  <w:szCs w:val="32"/>
                  <w:lang w:val="en-US" w:eastAsia="zh-CN"/>
                </w:rPr>
              </m:ctrlPr>
            </m:sub>
          </m:sSub>
          <m:r>
            <m:rPr>
              <m:sty m:val="p"/>
            </m:rPr>
            <w:rPr>
              <w:rFonts w:hint="default" w:ascii="Cambria Math" w:hAnsi="Cambria Math" w:eastAsia="仿宋_GB2312" w:cs="仿宋_GB2312"/>
              <w:sz w:val="32"/>
              <w:szCs w:val="32"/>
              <w:lang w:val="en-US" w:eastAsia="zh-CN"/>
            </w:rPr>
            <m:t>=</m:t>
          </m:r>
          <m:sSub>
            <m:sSubPr>
              <m:ctrlPr>
                <w:rPr>
                  <w:rFonts w:hint="default" w:ascii="Cambria Math" w:hAnsi="Cambria Math" w:eastAsia="仿宋_GB2312" w:cs="仿宋_GB2312"/>
                  <w:sz w:val="32"/>
                  <w:szCs w:val="32"/>
                  <w:lang w:val="en-US" w:eastAsia="zh-CN"/>
                </w:rPr>
              </m:ctrlPr>
            </m:sSubPr>
            <m:e>
              <m:r>
                <m:rPr>
                  <m:sty m:val="p"/>
                </m:rPr>
                <w:rPr>
                  <w:rFonts w:hint="default" w:ascii="Cambria Math" w:hAnsi="Cambria Math" w:eastAsia="仿宋_GB2312" w:cs="仿宋_GB2312"/>
                  <w:sz w:val="32"/>
                  <w:szCs w:val="32"/>
                  <w:lang w:val="en-US" w:eastAsia="zh-CN"/>
                </w:rPr>
                <m:t>w</m:t>
              </m:r>
              <m:ctrlPr>
                <w:rPr>
                  <w:rFonts w:hint="default" w:ascii="Cambria Math" w:hAnsi="Cambria Math" w:eastAsia="仿宋_GB2312" w:cs="仿宋_GB2312"/>
                  <w:sz w:val="32"/>
                  <w:szCs w:val="32"/>
                  <w:lang w:val="en-US" w:eastAsia="zh-CN"/>
                </w:rPr>
              </m:ctrlPr>
            </m:e>
            <m:sub>
              <m:r>
                <m:rPr>
                  <m:sty m:val="p"/>
                </m:rPr>
                <w:rPr>
                  <w:rFonts w:hint="default" w:ascii="Cambria Math" w:hAnsi="Cambria Math" w:eastAsia="仿宋_GB2312" w:cs="仿宋_GB2312"/>
                  <w:sz w:val="32"/>
                  <w:szCs w:val="32"/>
                  <w:lang w:val="en-US" w:eastAsia="zh-CN"/>
                </w:rPr>
                <m:t>g</m:t>
              </m:r>
              <m:ctrlPr>
                <w:rPr>
                  <w:rFonts w:hint="default" w:ascii="Cambria Math" w:hAnsi="Cambria Math" w:eastAsia="仿宋_GB2312" w:cs="仿宋_GB2312"/>
                  <w:sz w:val="32"/>
                  <w:szCs w:val="32"/>
                  <w:lang w:val="en-US" w:eastAsia="zh-CN"/>
                </w:rPr>
              </m:ctrlPr>
            </m:sub>
          </m:sSub>
          <m:r>
            <m:rPr>
              <m:sty m:val="p"/>
            </m:rPr>
            <w:rPr>
              <w:rFonts w:hint="default" w:ascii="Cambria Math" w:hAnsi="Cambria Math" w:eastAsia="仿宋_GB2312" w:cs="仿宋_GB2312"/>
              <w:sz w:val="32"/>
              <w:szCs w:val="32"/>
              <w:lang w:val="en-US" w:eastAsia="zh-CN"/>
            </w:rPr>
            <m:t>×</m:t>
          </m:r>
          <m:sSub>
            <m:sSubPr>
              <m:ctrlPr>
                <w:rPr>
                  <w:rFonts w:hint="default" w:ascii="Cambria Math" w:hAnsi="Cambria Math" w:eastAsia="仿宋_GB2312" w:cs="仿宋_GB2312"/>
                  <w:sz w:val="32"/>
                  <w:szCs w:val="32"/>
                  <w:lang w:val="en-US" w:eastAsia="zh-CN"/>
                </w:rPr>
              </m:ctrlPr>
            </m:sSubPr>
            <m:e>
              <m:r>
                <m:rPr>
                  <m:sty m:val="p"/>
                </m:rPr>
                <w:rPr>
                  <w:rFonts w:hint="default" w:ascii="Cambria Math" w:hAnsi="Cambria Math" w:eastAsia="仿宋_GB2312" w:cs="仿宋_GB2312"/>
                  <w:sz w:val="32"/>
                  <w:szCs w:val="32"/>
                  <w:lang w:val="en-US" w:eastAsia="zh-CN"/>
                </w:rPr>
                <m:t>α</m:t>
              </m:r>
              <m:ctrlPr>
                <w:rPr>
                  <w:rFonts w:hint="default" w:ascii="Cambria Math" w:hAnsi="Cambria Math" w:eastAsia="仿宋_GB2312" w:cs="仿宋_GB2312"/>
                  <w:sz w:val="32"/>
                  <w:szCs w:val="32"/>
                  <w:lang w:val="en-US" w:eastAsia="zh-CN"/>
                </w:rPr>
              </m:ctrlPr>
            </m:e>
            <m:sub>
              <m:r>
                <m:rPr>
                  <m:sty m:val="p"/>
                </m:rPr>
                <w:rPr>
                  <w:rFonts w:hint="default" w:ascii="Cambria Math" w:hAnsi="Cambria Math" w:eastAsia="仿宋_GB2312" w:cs="仿宋_GB2312"/>
                  <w:sz w:val="32"/>
                  <w:szCs w:val="32"/>
                  <w:lang w:val="en-US" w:eastAsia="zh-CN"/>
                </w:rPr>
                <m:t>i</m:t>
              </m:r>
              <m:ctrlPr>
                <w:rPr>
                  <w:rFonts w:hint="default" w:ascii="Cambria Math" w:hAnsi="Cambria Math" w:eastAsia="仿宋_GB2312" w:cs="仿宋_GB2312"/>
                  <w:sz w:val="32"/>
                  <w:szCs w:val="32"/>
                  <w:lang w:val="en-US" w:eastAsia="zh-CN"/>
                </w:rPr>
              </m:ctrlPr>
            </m:sub>
          </m:sSub>
          <m:r>
            <m:rPr>
              <m:sty m:val="p"/>
            </m:rPr>
            <w:rPr>
              <w:rFonts w:hint="default" w:ascii="Cambria Math" w:hAnsi="Cambria Math" w:eastAsia="仿宋_GB2312" w:cs="仿宋_GB2312"/>
              <w:sz w:val="32"/>
              <w:szCs w:val="32"/>
              <w:lang w:val="en-US" w:eastAsia="zh-CN"/>
            </w:rPr>
            <m:t>+</m:t>
          </m:r>
          <m:sSub>
            <m:sSubPr>
              <m:ctrlPr>
                <w:rPr>
                  <w:rFonts w:hint="default" w:ascii="Cambria Math" w:hAnsi="Cambria Math" w:eastAsia="仿宋_GB2312" w:cs="仿宋_GB2312"/>
                  <w:sz w:val="32"/>
                  <w:szCs w:val="32"/>
                  <w:lang w:val="en-US" w:eastAsia="zh-CN"/>
                </w:rPr>
              </m:ctrlPr>
            </m:sSubPr>
            <m:e>
              <m:r>
                <m:rPr>
                  <m:sty m:val="p"/>
                </m:rPr>
                <w:rPr>
                  <w:rFonts w:hint="default" w:ascii="Cambria Math" w:hAnsi="Cambria Math" w:eastAsia="仿宋_GB2312" w:cs="仿宋_GB2312"/>
                  <w:sz w:val="32"/>
                  <w:szCs w:val="32"/>
                  <w:lang w:val="en-US" w:eastAsia="zh-CN"/>
                </w:rPr>
                <m:t>Q</m:t>
              </m:r>
              <m:ctrlPr>
                <w:rPr>
                  <w:rFonts w:hint="default" w:ascii="Cambria Math" w:hAnsi="Cambria Math" w:eastAsia="仿宋_GB2312" w:cs="仿宋_GB2312"/>
                  <w:sz w:val="32"/>
                  <w:szCs w:val="32"/>
                  <w:lang w:val="en-US" w:eastAsia="zh-CN"/>
                </w:rPr>
              </m:ctrlPr>
            </m:e>
            <m:sub>
              <m:r>
                <m:rPr>
                  <m:sty m:val="p"/>
                </m:rPr>
                <w:rPr>
                  <w:rFonts w:hint="default" w:ascii="Cambria Math" w:hAnsi="Cambria Math" w:eastAsia="仿宋_GB2312" w:cs="仿宋_GB2312"/>
                  <w:sz w:val="32"/>
                  <w:szCs w:val="32"/>
                  <w:lang w:val="en-US" w:eastAsia="zh-CN"/>
                </w:rPr>
                <m:t>g</m:t>
              </m:r>
              <m:ctrlPr>
                <w:rPr>
                  <w:rFonts w:hint="default" w:ascii="Cambria Math" w:hAnsi="Cambria Math" w:eastAsia="仿宋_GB2312" w:cs="仿宋_GB2312"/>
                  <w:sz w:val="32"/>
                  <w:szCs w:val="32"/>
                  <w:lang w:val="en-US" w:eastAsia="zh-CN"/>
                </w:rPr>
              </m:ctrlPr>
            </m:sub>
          </m:sSub>
          <m:r>
            <m:rPr>
              <m:sty m:val="p"/>
            </m:rPr>
            <w:rPr>
              <w:rFonts w:hint="default" w:ascii="Cambria Math" w:hAnsi="Cambria Math" w:eastAsia="仿宋_GB2312" w:cs="仿宋_GB2312"/>
              <w:sz w:val="32"/>
              <w:szCs w:val="32"/>
              <w:lang w:val="en-US" w:eastAsia="zh-CN"/>
            </w:rPr>
            <m:t>×</m:t>
          </m:r>
          <m:sSub>
            <m:sSubPr>
              <m:ctrlPr>
                <w:rPr>
                  <w:rFonts w:hint="default" w:ascii="Cambria Math" w:hAnsi="Cambria Math" w:eastAsia="仿宋_GB2312" w:cs="仿宋_GB2312"/>
                  <w:sz w:val="32"/>
                  <w:szCs w:val="32"/>
                  <w:lang w:val="en-US" w:eastAsia="zh-CN"/>
                </w:rPr>
              </m:ctrlPr>
            </m:sSubPr>
            <m:e>
              <m:r>
                <m:rPr>
                  <m:sty m:val="p"/>
                </m:rPr>
                <w:rPr>
                  <w:rFonts w:hint="default" w:ascii="Cambria Math" w:hAnsi="Cambria Math" w:eastAsia="仿宋_GB2312" w:cs="仿宋_GB2312"/>
                  <w:sz w:val="32"/>
                  <w:szCs w:val="32"/>
                  <w:lang w:val="en-US" w:eastAsia="zh-CN"/>
                </w:rPr>
                <m:t>b</m:t>
              </m:r>
              <m:ctrlPr>
                <w:rPr>
                  <w:rFonts w:hint="default" w:ascii="Cambria Math" w:hAnsi="Cambria Math" w:eastAsia="仿宋_GB2312" w:cs="仿宋_GB2312"/>
                  <w:sz w:val="32"/>
                  <w:szCs w:val="32"/>
                  <w:lang w:val="en-US" w:eastAsia="zh-CN"/>
                </w:rPr>
              </m:ctrlPr>
            </m:e>
            <m:sub>
              <m:r>
                <m:rPr>
                  <m:sty m:val="p"/>
                </m:rPr>
                <w:rPr>
                  <w:rFonts w:hint="default" w:ascii="Cambria Math" w:hAnsi="Cambria Math" w:eastAsia="仿宋_GB2312" w:cs="仿宋_GB2312"/>
                  <w:sz w:val="32"/>
                  <w:szCs w:val="32"/>
                  <w:lang w:val="en-US" w:eastAsia="zh-CN"/>
                </w:rPr>
                <m:t>g</m:t>
              </m:r>
              <m:ctrlPr>
                <w:rPr>
                  <w:rFonts w:hint="default" w:ascii="Cambria Math" w:hAnsi="Cambria Math" w:eastAsia="仿宋_GB2312" w:cs="仿宋_GB2312"/>
                  <w:sz w:val="32"/>
                  <w:szCs w:val="32"/>
                  <w:lang w:val="en-US" w:eastAsia="zh-CN"/>
                </w:rPr>
              </m:ctrlPr>
            </m:sub>
          </m:sSub>
          <m:r>
            <m:rPr>
              <m:sty m:val="p"/>
            </m:rPr>
            <w:rPr>
              <w:rFonts w:hint="default" w:ascii="Cambria Math" w:hAnsi="Cambria Math" w:eastAsia="仿宋_GB2312" w:cs="仿宋_GB2312"/>
              <w:sz w:val="32"/>
              <w:szCs w:val="32"/>
              <w:lang w:val="en-US" w:eastAsia="zh-CN"/>
            </w:rPr>
            <m:t>×</m:t>
          </m:r>
          <m:sSup>
            <m:sSupPr>
              <m:ctrlPr>
                <w:rPr>
                  <w:rFonts w:hint="default" w:ascii="Cambria Math" w:hAnsi="Cambria Math" w:eastAsia="仿宋_GB2312" w:cs="仿宋_GB2312"/>
                  <w:sz w:val="32"/>
                  <w:szCs w:val="32"/>
                  <w:lang w:val="en-US" w:eastAsia="zh-CN"/>
                </w:rPr>
              </m:ctrlPr>
            </m:sSupPr>
            <m:e>
              <m:r>
                <m:rPr>
                  <m:sty m:val="p"/>
                </m:rPr>
                <w:rPr>
                  <w:rFonts w:hint="default" w:ascii="Cambria Math" w:hAnsi="Cambria Math" w:eastAsia="仿宋_GB2312" w:cs="仿宋_GB2312"/>
                  <w:sz w:val="32"/>
                  <w:szCs w:val="32"/>
                  <w:lang w:val="en-US" w:eastAsia="zh-CN"/>
                </w:rPr>
                <m:t>10</m:t>
              </m:r>
              <m:ctrlPr>
                <w:rPr>
                  <w:rFonts w:hint="default" w:ascii="Cambria Math" w:hAnsi="Cambria Math" w:eastAsia="仿宋_GB2312" w:cs="仿宋_GB2312"/>
                  <w:sz w:val="32"/>
                  <w:szCs w:val="32"/>
                  <w:lang w:val="en-US" w:eastAsia="zh-CN"/>
                </w:rPr>
              </m:ctrlPr>
            </m:e>
            <m:sup>
              <m:r>
                <m:rPr>
                  <m:sty m:val="p"/>
                </m:rPr>
                <w:rPr>
                  <w:rFonts w:hint="default" w:ascii="Cambria Math" w:hAnsi="Cambria Math" w:eastAsia="仿宋_GB2312" w:cs="仿宋_GB2312"/>
                  <w:sz w:val="32"/>
                  <w:szCs w:val="32"/>
                  <w:lang w:val="en-US" w:eastAsia="zh-CN"/>
                </w:rPr>
                <m:t>3</m:t>
              </m:r>
              <m:ctrlPr>
                <w:rPr>
                  <w:rFonts w:hint="default" w:ascii="Cambria Math" w:hAnsi="Cambria Math" w:eastAsia="仿宋_GB2312" w:cs="仿宋_GB2312"/>
                  <w:sz w:val="32"/>
                  <w:szCs w:val="32"/>
                  <w:lang w:val="en-US" w:eastAsia="zh-CN"/>
                </w:rPr>
              </m:ctrlPr>
            </m:sup>
          </m:sSup>
          <m:r>
            <m:rPr>
              <m:sty m:val="p"/>
            </m:rPr>
            <w:rPr>
              <w:rFonts w:hint="default" w:ascii="Cambria Math" w:hAnsi="Cambria Math" w:eastAsia="仿宋_GB2312" w:cs="仿宋_GB2312"/>
              <w:sz w:val="32"/>
              <w:szCs w:val="32"/>
              <w:lang w:val="en-US" w:eastAsia="zh-CN"/>
            </w:rPr>
            <m:t>×2.21</m:t>
          </m:r>
        </m:oMath>
      </m:oMathPara>
    </w:p>
    <w:p w14:paraId="7E3161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注：本公式根据可再生能源供电量与区域电网基准线排放因子并结合供热量计算二氧化碳减排量。式中：</w:t>
      </w:r>
    </w:p>
    <w:p w14:paraId="7987F4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m:oMath>
        <m:sSub>
          <m:sSubPr>
            <m:ctrlPr>
              <w:rPr>
                <w:rFonts w:hint="eastAsia" w:ascii="Cambria Math" w:hAnsi="Cambria Math" w:eastAsia="仿宋_GB2312" w:cs="仿宋_GB2312"/>
                <w:sz w:val="32"/>
                <w:szCs w:val="32"/>
                <w:lang w:val="en-US" w:eastAsia="zh-CN"/>
              </w:rPr>
            </m:ctrlPr>
          </m:sSubPr>
          <m:e>
            <m:r>
              <m:rPr>
                <m:sty m:val="p"/>
              </m:rPr>
              <w:rPr>
                <w:rFonts w:hint="default" w:ascii="Cambria Math" w:hAnsi="Cambria Math" w:eastAsia="仿宋_GB2312" w:cs="仿宋_GB2312"/>
                <w:sz w:val="32"/>
                <w:szCs w:val="32"/>
                <w:lang w:val="en-US" w:eastAsia="zh-CN"/>
              </w:rPr>
              <m:t>CO</m:t>
            </m:r>
            <m:ctrlPr>
              <w:rPr>
                <w:rFonts w:hint="eastAsia" w:ascii="Cambria Math" w:hAnsi="Cambria Math" w:eastAsia="仿宋_GB2312" w:cs="仿宋_GB2312"/>
                <w:sz w:val="32"/>
                <w:szCs w:val="32"/>
                <w:lang w:val="en-US" w:eastAsia="zh-CN"/>
              </w:rPr>
            </m:ctrlPr>
          </m:e>
          <m:sub>
            <m:r>
              <m:rPr>
                <m:sty m:val="p"/>
              </m:rPr>
              <w:rPr>
                <w:rFonts w:hint="default" w:ascii="Cambria Math" w:hAnsi="Cambria Math" w:eastAsia="仿宋_GB2312" w:cs="仿宋_GB2312"/>
                <w:sz w:val="32"/>
                <w:szCs w:val="32"/>
                <w:lang w:val="en-US" w:eastAsia="zh-CN"/>
              </w:rPr>
              <m:t>2</m:t>
            </m:r>
            <m:ctrlPr>
              <w:rPr>
                <w:rFonts w:hint="eastAsia" w:ascii="Cambria Math" w:hAnsi="Cambria Math" w:eastAsia="仿宋_GB2312" w:cs="仿宋_GB2312"/>
                <w:sz w:val="32"/>
                <w:szCs w:val="32"/>
                <w:lang w:val="en-US" w:eastAsia="zh-CN"/>
              </w:rPr>
            </m:ctrlPr>
          </m:sub>
        </m:sSub>
      </m:oMath>
      <w:r>
        <w:rPr>
          <w:rFonts w:hint="eastAsia" w:ascii="仿宋_GB2312" w:hAnsi="仿宋_GB2312" w:eastAsia="仿宋_GB2312" w:cs="仿宋_GB2312"/>
          <w:sz w:val="32"/>
          <w:szCs w:val="32"/>
          <w:lang w:val="en-US" w:eastAsia="zh-CN"/>
        </w:rPr>
        <w:t>--项目二氧化碳减排量，单位：</w:t>
      </w:r>
      <m:oMath>
        <m:sSub>
          <m:sSubPr>
            <m:ctrlPr>
              <w:rPr>
                <w:rFonts w:hint="eastAsia" w:ascii="Cambria Math" w:hAnsi="Cambria Math" w:eastAsia="仿宋_GB2312" w:cs="仿宋_GB2312"/>
                <w:sz w:val="32"/>
                <w:szCs w:val="32"/>
                <w:lang w:val="en-US" w:eastAsia="zh-CN"/>
              </w:rPr>
            </m:ctrlPr>
          </m:sSubPr>
          <m:e>
            <m:r>
              <m:rPr>
                <m:sty m:val="p"/>
              </m:rPr>
              <w:rPr>
                <w:rFonts w:hint="eastAsia" w:ascii="Cambria Math" w:hAnsi="Cambria Math" w:eastAsia="仿宋_GB2312" w:cs="仿宋_GB2312"/>
                <w:sz w:val="32"/>
                <w:szCs w:val="32"/>
                <w:lang w:val="en-US" w:eastAsia="zh-CN"/>
              </w:rPr>
              <m:t>tCO</m:t>
            </m:r>
            <m:ctrlPr>
              <w:rPr>
                <w:rFonts w:hint="eastAsia" w:ascii="Cambria Math" w:hAnsi="Cambria Math" w:eastAsia="仿宋_GB2312" w:cs="仿宋_GB2312"/>
                <w:sz w:val="32"/>
                <w:szCs w:val="32"/>
                <w:lang w:val="en-US" w:eastAsia="zh-CN"/>
              </w:rPr>
            </m:ctrlPr>
          </m:e>
          <m:sub>
            <m:r>
              <m:rPr>
                <m:sty m:val="p"/>
              </m:rPr>
              <w:rPr>
                <w:rFonts w:hint="eastAsia" w:ascii="Cambria Math" w:hAnsi="Cambria Math" w:eastAsia="仿宋_GB2312" w:cs="仿宋_GB2312"/>
                <w:sz w:val="32"/>
                <w:szCs w:val="32"/>
                <w:lang w:val="en-US" w:eastAsia="zh-CN"/>
              </w:rPr>
              <m:t>2</m:t>
            </m:r>
            <m:ctrlPr>
              <w:rPr>
                <w:rFonts w:hint="eastAsia" w:ascii="Cambria Math" w:hAnsi="Cambria Math" w:eastAsia="仿宋_GB2312" w:cs="仿宋_GB2312"/>
                <w:sz w:val="32"/>
                <w:szCs w:val="32"/>
                <w:lang w:val="en-US" w:eastAsia="zh-CN"/>
              </w:rPr>
            </m:ctrlPr>
          </m:sub>
        </m:sSub>
        <m:r>
          <m:rPr>
            <m:sty m:val="p"/>
          </m:rPr>
          <w:rPr>
            <w:rFonts w:hint="eastAsia" w:ascii="Cambria Math" w:hAnsi="Cambria Math" w:eastAsia="仿宋_GB2312" w:cs="仿宋_GB2312"/>
            <w:sz w:val="32"/>
            <w:szCs w:val="32"/>
            <w:lang w:val="en-US" w:eastAsia="zh-CN"/>
          </w:rPr>
          <m:t>e</m:t>
        </m:r>
      </m:oMath>
      <w:r>
        <w:rPr>
          <w:rFonts w:hint="eastAsia" w:ascii="仿宋_GB2312" w:hAnsi="仿宋_GB2312" w:eastAsia="仿宋_GB2312" w:cs="仿宋_GB2312"/>
          <w:sz w:val="32"/>
          <w:szCs w:val="32"/>
          <w:lang w:val="en-US" w:eastAsia="zh-CN"/>
        </w:rPr>
        <w:t>；</w:t>
      </w:r>
    </w:p>
    <w:p w14:paraId="40E4AD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m:oMath>
        <m:sSub>
          <m:sSubPr>
            <m:ctrlPr>
              <w:rPr>
                <w:rFonts w:hint="eastAsia" w:ascii="Cambria Math" w:hAnsi="Cambria Math" w:eastAsia="仿宋_GB2312" w:cs="仿宋_GB2312"/>
                <w:sz w:val="32"/>
                <w:szCs w:val="32"/>
                <w:lang w:val="en-US" w:eastAsia="zh-CN"/>
              </w:rPr>
            </m:ctrlPr>
          </m:sSubPr>
          <m:e>
            <m:r>
              <m:rPr>
                <m:sty m:val="p"/>
              </m:rPr>
              <w:rPr>
                <w:rFonts w:hint="default" w:ascii="Cambria Math" w:hAnsi="Cambria Math" w:eastAsia="仿宋_GB2312" w:cs="仿宋_GB2312"/>
                <w:sz w:val="32"/>
                <w:szCs w:val="32"/>
                <w:lang w:val="en-US" w:eastAsia="zh-CN"/>
              </w:rPr>
              <m:t>w</m:t>
            </m:r>
            <m:ctrlPr>
              <w:rPr>
                <w:rFonts w:hint="eastAsia" w:ascii="Cambria Math" w:hAnsi="Cambria Math" w:eastAsia="仿宋_GB2312" w:cs="仿宋_GB2312"/>
                <w:sz w:val="32"/>
                <w:szCs w:val="32"/>
                <w:lang w:val="en-US" w:eastAsia="zh-CN"/>
              </w:rPr>
            </m:ctrlPr>
          </m:e>
          <m:sub>
            <m:r>
              <m:rPr>
                <m:sty m:val="p"/>
              </m:rPr>
              <w:rPr>
                <w:rFonts w:hint="default" w:ascii="Cambria Math" w:hAnsi="Cambria Math" w:eastAsia="仿宋_GB2312" w:cs="仿宋_GB2312"/>
                <w:sz w:val="32"/>
                <w:szCs w:val="32"/>
                <w:lang w:val="en-US" w:eastAsia="zh-CN"/>
              </w:rPr>
              <m:t>g</m:t>
            </m:r>
            <m:ctrlPr>
              <w:rPr>
                <w:rFonts w:hint="eastAsia" w:ascii="Cambria Math" w:hAnsi="Cambria Math" w:eastAsia="仿宋_GB2312" w:cs="仿宋_GB2312"/>
                <w:sz w:val="32"/>
                <w:szCs w:val="32"/>
                <w:lang w:val="en-US" w:eastAsia="zh-CN"/>
              </w:rPr>
            </m:ctrlPr>
          </m:sub>
        </m:sSub>
      </m:oMath>
      <w:r>
        <w:rPr>
          <w:rFonts w:hint="eastAsia" w:ascii="仿宋_GB2312" w:hAnsi="仿宋_GB2312" w:eastAsia="仿宋_GB2312" w:cs="仿宋_GB2312"/>
          <w:sz w:val="32"/>
          <w:szCs w:val="32"/>
          <w:lang w:val="en-US" w:eastAsia="zh-CN"/>
        </w:rPr>
        <w:t>--项目年供电量，单位：兆瓦时；</w:t>
      </w:r>
    </w:p>
    <w:p w14:paraId="69EEBB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m:oMath>
        <m:sSub>
          <m:sSubPr>
            <m:ctrlPr>
              <w:rPr>
                <w:rFonts w:hint="eastAsia" w:ascii="Cambria Math" w:hAnsi="Cambria Math" w:eastAsia="仿宋_GB2312" w:cs="仿宋_GB2312"/>
                <w:sz w:val="32"/>
                <w:szCs w:val="32"/>
                <w:lang w:val="en-US" w:eastAsia="zh-CN"/>
              </w:rPr>
            </m:ctrlPr>
          </m:sSubPr>
          <m:e>
            <m:r>
              <m:rPr>
                <m:sty m:val="p"/>
              </m:rPr>
              <w:rPr>
                <w:rFonts w:hint="eastAsia" w:ascii="Cambria Math" w:hAnsi="Cambria Math" w:eastAsia="仿宋_GB2312" w:cs="仿宋_GB2312"/>
                <w:sz w:val="32"/>
                <w:szCs w:val="32"/>
                <w:lang w:val="en-US" w:eastAsia="zh-CN"/>
              </w:rPr>
              <m:t>α</m:t>
            </m:r>
            <m:ctrlPr>
              <w:rPr>
                <w:rFonts w:hint="eastAsia" w:ascii="Cambria Math" w:hAnsi="Cambria Math" w:eastAsia="仿宋_GB2312" w:cs="仿宋_GB2312"/>
                <w:sz w:val="32"/>
                <w:szCs w:val="32"/>
                <w:lang w:val="en-US" w:eastAsia="zh-CN"/>
              </w:rPr>
            </m:ctrlPr>
          </m:e>
          <m:sub>
            <m:r>
              <m:rPr>
                <m:sty m:val="p"/>
              </m:rPr>
              <w:rPr>
                <w:rFonts w:hint="default" w:ascii="Cambria Math" w:hAnsi="Cambria Math" w:eastAsia="仿宋_GB2312" w:cs="仿宋_GB2312"/>
                <w:sz w:val="32"/>
                <w:szCs w:val="32"/>
                <w:lang w:val="en-US" w:eastAsia="zh-CN"/>
              </w:rPr>
              <m:t>i</m:t>
            </m:r>
            <m:ctrlPr>
              <w:rPr>
                <w:rFonts w:hint="eastAsia" w:ascii="Cambria Math" w:hAnsi="Cambria Math" w:eastAsia="仿宋_GB2312" w:cs="仿宋_GB2312"/>
                <w:sz w:val="32"/>
                <w:szCs w:val="32"/>
                <w:lang w:val="en-US" w:eastAsia="zh-CN"/>
              </w:rPr>
            </m:ctrlPr>
          </m:sub>
        </m:sSub>
      </m:oMath>
      <w:r>
        <w:rPr>
          <w:rFonts w:hint="eastAsia" w:ascii="仿宋_GB2312" w:hAnsi="仿宋_GB2312" w:eastAsia="仿宋_GB2312" w:cs="仿宋_GB2312"/>
          <w:sz w:val="32"/>
          <w:szCs w:val="32"/>
          <w:lang w:val="en-US" w:eastAsia="zh-CN"/>
        </w:rPr>
        <w:t>--可再生能源发电项目所在地区区域电网的二氧化碳基准线排放因子。单位：</w:t>
      </w:r>
      <m:oMath>
        <m:sSub>
          <m:sSubPr>
            <m:ctrlPr>
              <w:rPr>
                <w:rFonts w:hint="eastAsia" w:ascii="Cambria Math" w:hAnsi="Cambria Math" w:eastAsia="仿宋_GB2312" w:cs="仿宋_GB2312"/>
                <w:sz w:val="32"/>
                <w:szCs w:val="32"/>
                <w:lang w:val="en-US" w:eastAsia="zh-CN"/>
              </w:rPr>
            </m:ctrlPr>
          </m:sSubPr>
          <m:e>
            <m:r>
              <m:rPr>
                <m:sty m:val="p"/>
              </m:rPr>
              <w:rPr>
                <w:rFonts w:hint="eastAsia" w:ascii="Cambria Math" w:hAnsi="Cambria Math" w:eastAsia="仿宋_GB2312" w:cs="仿宋_GB2312"/>
                <w:sz w:val="32"/>
                <w:szCs w:val="32"/>
                <w:lang w:val="en-US" w:eastAsia="zh-CN"/>
              </w:rPr>
              <m:t>tCO</m:t>
            </m:r>
            <m:ctrlPr>
              <w:rPr>
                <w:rFonts w:hint="eastAsia" w:ascii="Cambria Math" w:hAnsi="Cambria Math" w:eastAsia="仿宋_GB2312" w:cs="仿宋_GB2312"/>
                <w:sz w:val="32"/>
                <w:szCs w:val="32"/>
                <w:lang w:val="en-US" w:eastAsia="zh-CN"/>
              </w:rPr>
            </m:ctrlPr>
          </m:e>
          <m:sub>
            <m:r>
              <m:rPr>
                <m:sty m:val="p"/>
              </m:rPr>
              <w:rPr>
                <w:rFonts w:hint="eastAsia" w:ascii="Cambria Math" w:hAnsi="Cambria Math" w:eastAsia="仿宋_GB2312" w:cs="仿宋_GB2312"/>
                <w:sz w:val="32"/>
                <w:szCs w:val="32"/>
                <w:lang w:val="en-US" w:eastAsia="zh-CN"/>
              </w:rPr>
              <m:t>2</m:t>
            </m:r>
            <m:ctrlPr>
              <w:rPr>
                <w:rFonts w:hint="eastAsia" w:ascii="Cambria Math" w:hAnsi="Cambria Math" w:eastAsia="仿宋_GB2312" w:cs="仿宋_GB2312"/>
                <w:sz w:val="32"/>
                <w:szCs w:val="32"/>
                <w:lang w:val="en-US" w:eastAsia="zh-CN"/>
              </w:rPr>
            </m:ctrlPr>
          </m:sub>
        </m:sSub>
        <m:r>
          <m:rPr>
            <m:sty m:val="p"/>
          </m:rPr>
          <w:rPr>
            <w:rFonts w:hint="eastAsia" w:ascii="Cambria Math" w:hAnsi="Cambria Math" w:eastAsia="仿宋_GB2312" w:cs="仿宋_GB2312"/>
            <w:sz w:val="32"/>
            <w:szCs w:val="32"/>
            <w:lang w:val="en-US" w:eastAsia="zh-CN"/>
          </w:rPr>
          <m:t>e</m:t>
        </m:r>
        <m:r>
          <m:rPr>
            <m:sty m:val="p"/>
          </m:rPr>
          <w:rPr>
            <w:rFonts w:hint="default" w:ascii="Cambria Math" w:hAnsi="Cambria Math" w:eastAsia="仿宋_GB2312" w:cs="仿宋_GB2312"/>
            <w:sz w:val="32"/>
            <w:szCs w:val="32"/>
            <w:lang w:val="en-US" w:eastAsia="zh-CN"/>
          </w:rPr>
          <m:t>/MW</m:t>
        </m:r>
        <m:r>
          <m:rPr>
            <m:sty m:val="p"/>
          </m:rPr>
          <w:rPr>
            <w:rFonts w:hint="eastAsia" w:ascii="Cambria Math" w:hAnsi="Cambria Math" w:eastAsia="仿宋_GB2312" w:cs="仿宋_GB2312"/>
            <w:sz w:val="32"/>
            <w:szCs w:val="32"/>
            <w:lang w:val="en-US" w:eastAsia="zh-CN"/>
          </w:rPr>
          <m:t>h</m:t>
        </m:r>
      </m:oMath>
      <w:r>
        <w:rPr>
          <w:rFonts w:hint="eastAsia" w:ascii="仿宋_GB2312" w:hAnsi="仿宋_GB2312" w:eastAsia="仿宋_GB2312" w:cs="仿宋_GB2312"/>
          <w:sz w:val="32"/>
          <w:szCs w:val="32"/>
          <w:lang w:val="en-US" w:eastAsia="zh-CN"/>
        </w:rPr>
        <w:t>；</w:t>
      </w:r>
    </w:p>
    <w:p w14:paraId="1E7543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m:oMath>
        <m:sSub>
          <m:sSubPr>
            <m:ctrlPr>
              <w:rPr>
                <w:rFonts w:hint="eastAsia" w:ascii="Cambria Math" w:hAnsi="Cambria Math" w:eastAsia="仿宋_GB2312" w:cs="仿宋_GB2312"/>
                <w:sz w:val="32"/>
                <w:szCs w:val="32"/>
                <w:lang w:val="en-US" w:eastAsia="zh-CN"/>
              </w:rPr>
            </m:ctrlPr>
          </m:sSubPr>
          <m:e>
            <m:r>
              <m:rPr>
                <m:sty m:val="p"/>
              </m:rPr>
              <w:rPr>
                <w:rFonts w:hint="default" w:ascii="Cambria Math" w:hAnsi="Cambria Math" w:eastAsia="仿宋_GB2312" w:cs="仿宋_GB2312"/>
                <w:sz w:val="32"/>
                <w:szCs w:val="32"/>
                <w:lang w:val="en-US" w:eastAsia="zh-CN"/>
              </w:rPr>
              <m:t>Q</m:t>
            </m:r>
            <m:ctrlPr>
              <w:rPr>
                <w:rFonts w:hint="eastAsia" w:ascii="Cambria Math" w:hAnsi="Cambria Math" w:eastAsia="仿宋_GB2312" w:cs="仿宋_GB2312"/>
                <w:sz w:val="32"/>
                <w:szCs w:val="32"/>
                <w:lang w:val="en-US" w:eastAsia="zh-CN"/>
              </w:rPr>
            </m:ctrlPr>
          </m:e>
          <m:sub>
            <m:r>
              <m:rPr>
                <m:sty m:val="p"/>
              </m:rPr>
              <w:rPr>
                <w:rFonts w:hint="default" w:ascii="Cambria Math" w:hAnsi="Cambria Math" w:eastAsia="仿宋_GB2312" w:cs="仿宋_GB2312"/>
                <w:sz w:val="32"/>
                <w:szCs w:val="32"/>
                <w:lang w:val="en-US" w:eastAsia="zh-CN"/>
              </w:rPr>
              <m:t>g</m:t>
            </m:r>
            <m:ctrlPr>
              <w:rPr>
                <w:rFonts w:hint="eastAsia" w:ascii="Cambria Math" w:hAnsi="Cambria Math" w:eastAsia="仿宋_GB2312" w:cs="仿宋_GB2312"/>
                <w:sz w:val="32"/>
                <w:szCs w:val="32"/>
                <w:lang w:val="en-US" w:eastAsia="zh-CN"/>
              </w:rPr>
            </m:ctrlPr>
          </m:sub>
        </m:sSub>
      </m:oMath>
      <w:r>
        <w:rPr>
          <w:rFonts w:hint="eastAsia" w:ascii="仿宋_GB2312" w:hAnsi="仿宋_GB2312" w:eastAsia="仿宋_GB2312" w:cs="仿宋_GB2312"/>
          <w:sz w:val="32"/>
          <w:szCs w:val="32"/>
          <w:lang w:val="en-US" w:eastAsia="zh-CN"/>
        </w:rPr>
        <w:t>--项目年供热量，单位：百万吉焦；若只发电不供热，则</w:t>
      </w:r>
      <w:r>
        <w:rPr>
          <w:rFonts w:hint="eastAsia" w:ascii="仿宋_GB2312" w:hAnsi="仿宋_GB2312" w:eastAsia="仿宋_GB2312" w:cs="仿宋_GB2312"/>
          <w:sz w:val="32"/>
          <w:szCs w:val="32"/>
          <w:lang w:val="en-US" w:eastAsia="zh-CN"/>
        </w:rPr>
        <w:object>
          <v:shape id="_x0000_i1025" o:spt="75" type="#_x0000_t75" style="height:21.75pt;width:14.25pt;" o:ole="t" filled="f" coordsize="21600,21600">
            <v:path/>
            <v:fill on="f" focussize="0,0"/>
            <v:stroke/>
            <v:imagedata r:id="rId11" o:title=""/>
            <o:lock v:ext="edit" aspectratio="t"/>
            <w10:wrap type="none"/>
            <w10:anchorlock/>
          </v:shape>
          <o:OLEObject Type="Embed" ProgID="Equation.3" ShapeID="_x0000_i1025" DrawAspect="Content" ObjectID="_1468075725" r:id="rId10">
            <o:LockedField>false</o:LockedField>
          </o:OLEObject>
        </w:object>
      </w:r>
      <w:r>
        <w:rPr>
          <w:rFonts w:hint="eastAsia" w:ascii="仿宋_GB2312" w:hAnsi="仿宋_GB2312" w:eastAsia="仿宋_GB2312" w:cs="仿宋_GB2312"/>
          <w:sz w:val="32"/>
          <w:szCs w:val="32"/>
          <w:lang w:val="en-US" w:eastAsia="zh-CN"/>
        </w:rPr>
        <w:t>值为零；</w:t>
      </w:r>
    </w:p>
    <w:p w14:paraId="1957F0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m:oMath>
        <m:sSub>
          <m:sSubPr>
            <m:ctrlPr>
              <w:rPr>
                <w:rFonts w:hint="eastAsia" w:ascii="Cambria Math" w:hAnsi="Cambria Math" w:eastAsia="仿宋_GB2312" w:cs="仿宋_GB2312"/>
                <w:sz w:val="32"/>
                <w:szCs w:val="32"/>
                <w:lang w:val="en-US" w:eastAsia="zh-CN"/>
              </w:rPr>
            </m:ctrlPr>
          </m:sSubPr>
          <m:e>
            <m:r>
              <m:rPr>
                <m:sty m:val="p"/>
              </m:rPr>
              <w:rPr>
                <w:rFonts w:hint="default" w:ascii="Cambria Math" w:hAnsi="Cambria Math" w:eastAsia="仿宋_GB2312" w:cs="仿宋_GB2312"/>
                <w:sz w:val="32"/>
                <w:szCs w:val="32"/>
                <w:lang w:val="en-US" w:eastAsia="zh-CN"/>
              </w:rPr>
              <m:t>b</m:t>
            </m:r>
            <m:ctrlPr>
              <w:rPr>
                <w:rFonts w:hint="eastAsia" w:ascii="Cambria Math" w:hAnsi="Cambria Math" w:eastAsia="仿宋_GB2312" w:cs="仿宋_GB2312"/>
                <w:sz w:val="32"/>
                <w:szCs w:val="32"/>
                <w:lang w:val="en-US" w:eastAsia="zh-CN"/>
              </w:rPr>
            </m:ctrlPr>
          </m:e>
          <m:sub>
            <m:r>
              <m:rPr>
                <m:sty m:val="p"/>
              </m:rPr>
              <w:rPr>
                <w:rFonts w:hint="default" w:ascii="Cambria Math" w:hAnsi="Cambria Math" w:eastAsia="仿宋_GB2312" w:cs="仿宋_GB2312"/>
                <w:sz w:val="32"/>
                <w:szCs w:val="32"/>
                <w:lang w:val="en-US" w:eastAsia="zh-CN"/>
              </w:rPr>
              <m:t>g</m:t>
            </m:r>
            <m:ctrlPr>
              <w:rPr>
                <w:rFonts w:hint="eastAsia" w:ascii="Cambria Math" w:hAnsi="Cambria Math" w:eastAsia="仿宋_GB2312" w:cs="仿宋_GB2312"/>
                <w:sz w:val="32"/>
                <w:szCs w:val="32"/>
                <w:lang w:val="en-US" w:eastAsia="zh-CN"/>
              </w:rPr>
            </m:ctrlPr>
          </m:sub>
        </m:sSub>
      </m:oMath>
      <w:r>
        <w:rPr>
          <w:rFonts w:hint="eastAsia" w:ascii="仿宋_GB2312" w:hAnsi="仿宋_GB2312" w:eastAsia="仿宋_GB2312" w:cs="仿宋_GB2312"/>
          <w:sz w:val="32"/>
          <w:szCs w:val="32"/>
          <w:lang w:val="en-US" w:eastAsia="zh-CN"/>
        </w:rPr>
        <w:t>--全国集中供热锅炉房平均供热煤耗，单位：千克标煤/吉焦。缺省值取40千克标煤/吉焦。</w:t>
      </w:r>
    </w:p>
    <w:p w14:paraId="55F0D95E">
      <w:pPr>
        <w:keepNext w:val="0"/>
        <w:keepLines w:val="0"/>
        <w:pageBreakBefore w:val="0"/>
        <w:widowControl w:val="0"/>
        <w:numPr>
          <w:ilvl w:val="0"/>
          <w:numId w:val="0"/>
        </w:numPr>
        <w:kinsoku/>
        <w:wordWrap/>
        <w:overflowPunct/>
        <w:topLinePunct w:val="0"/>
        <w:autoSpaceDE/>
        <w:autoSpaceDN/>
        <w:bidi w:val="0"/>
        <w:adjustRightInd/>
        <w:snapToGrid/>
        <w:spacing w:before="0" w:line="520" w:lineRule="exact"/>
        <w:ind w:firstLine="643" w:firstLineChars="200"/>
        <w:jc w:val="both"/>
        <w:textAlignment w:val="auto"/>
        <w:rPr>
          <w:rFonts w:hint="eastAsia"/>
          <w:highlight w:val="none"/>
          <w:lang w:val="en-US" w:eastAsia="zh-CN"/>
        </w:rPr>
      </w:pPr>
      <w:r>
        <w:rPr>
          <w:rFonts w:hint="eastAsia" w:ascii="仿宋_GB2312" w:hAnsi="仿宋_GB2312" w:eastAsia="仿宋_GB2312" w:cs="仿宋_GB2312"/>
          <w:b/>
          <w:bCs/>
          <w:color w:val="000000" w:themeColor="text1"/>
          <w:sz w:val="32"/>
          <w:szCs w:val="32"/>
          <w:highlight w:val="none"/>
          <w:shd w:val="clear" w:color="auto" w:fill="auto"/>
          <w:lang w:val="en-US" w:eastAsia="zh-CN"/>
          <w14:textFill>
            <w14:solidFill>
              <w14:schemeClr w14:val="tx1"/>
            </w14:solidFill>
          </w14:textFill>
        </w:rPr>
        <w:t>2.投融资活动碳排放</w:t>
      </w:r>
    </w:p>
    <w:p w14:paraId="6AA28D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本行投融资活动碳排放量</w:t>
      </w:r>
      <w:r>
        <w:rPr>
          <w:rFonts w:hint="eastAsia" w:ascii="仿宋_GB2312" w:hAnsi="仿宋_GB2312" w:eastAsia="仿宋_GB2312" w:cs="仿宋_GB2312"/>
          <w:sz w:val="32"/>
          <w:szCs w:val="32"/>
          <w:lang w:val="en-US" w:eastAsia="zh-CN"/>
        </w:rPr>
        <w:t>测算方法来源于中国人民银行《金融机构碳核算技术指南（试行）》，其中企业碳排放数据基于客户提供的碳排放数据或能耗数据计算得出，对于部分贷款企业/项目数据如客户无法提供，则主要根据企业/项目投入量/产出量等参数与同行业企业/项目类比得到。企业或项目本身的碳排放量是按照GB/T32150及相关企业温室气体排放核算和报告标准、企业温室气体排放核算方法与报告指南（试行）等的要求，核算其报告期内的排放量。具体核算方法如下：</w:t>
      </w:r>
    </w:p>
    <w:p w14:paraId="5196F421">
      <w:pPr>
        <w:keepNext w:val="0"/>
        <w:keepLines w:val="0"/>
        <w:pageBreakBefore w:val="0"/>
        <w:widowControl w:val="0"/>
        <w:numPr>
          <w:ilvl w:val="0"/>
          <w:numId w:val="7"/>
        </w:numPr>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项目融资碳减排测算</w:t>
      </w:r>
    </w:p>
    <w:p w14:paraId="6DA235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项目融资碳减排测算与项目融资业务碳排放核算的对象保持一致，且相关项目的分类及内涵应符合《绿色债券支持项目目录》《绿色产业指导目录》等要求。</w:t>
      </w:r>
    </w:p>
    <w:p w14:paraId="2498CF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项目有多个投资主体时，根据金融机构对项目的投资额与项目总投资的比例分摊折算项目融资业务对应的碳减排量，如下公式：</w:t>
      </w:r>
    </w:p>
    <w:p w14:paraId="4514FE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m:oMathPara>
        <m:oMath>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ER</m:t>
              </m:r>
              <m:ctrlPr>
                <w:rPr>
                  <w:rFonts w:hint="eastAsia" w:ascii="Cambria Math" w:hAnsi="Cambria Math" w:eastAsia="仿宋_GB2312" w:cs="仿宋_GB2312"/>
                  <w:sz w:val="32"/>
                  <w:szCs w:val="32"/>
                  <w:lang w:val="en-US"/>
                </w:rPr>
              </m:ctrlPr>
            </m:e>
            <m:sub>
              <m:r>
                <m:rPr>
                  <m:sty m:val="p"/>
                </m:rPr>
                <w:rPr>
                  <w:rFonts w:hint="eastAsia" w:ascii="Cambria Math" w:hAnsi="Cambria Math" w:eastAsia="仿宋_GB2312" w:cs="仿宋_GB2312"/>
                  <w:sz w:val="32"/>
                  <w:szCs w:val="32"/>
                  <w:lang w:val="en-US" w:eastAsia="zh-CN"/>
                </w:rPr>
                <m:t>项目业务</m:t>
              </m:r>
              <m:ctrlPr>
                <w:rPr>
                  <w:rFonts w:hint="eastAsia" w:ascii="Cambria Math" w:hAnsi="Cambria Math" w:eastAsia="仿宋_GB2312" w:cs="仿宋_GB2312"/>
                  <w:sz w:val="32"/>
                  <w:szCs w:val="32"/>
                  <w:lang w:val="en-US"/>
                </w:rPr>
              </m:ctrlPr>
            </m:sub>
          </m:sSub>
          <m:r>
            <m:rPr>
              <m:sty m:val="p"/>
            </m:rPr>
            <w:rPr>
              <w:rFonts w:hint="eastAsia" w:ascii="Cambria Math" w:hAnsi="Cambria Math" w:eastAsia="仿宋_GB2312" w:cs="仿宋_GB2312"/>
              <w:sz w:val="32"/>
              <w:szCs w:val="32"/>
              <w:lang w:val="en-US" w:eastAsia="zh-CN"/>
            </w:rPr>
            <m:t>=</m:t>
          </m:r>
          <m:sSub>
            <m:sSubPr>
              <m:ctrlPr>
                <w:rPr>
                  <w:rFonts w:hint="eastAsia" w:ascii="Cambria Math" w:hAnsi="Cambria Math" w:eastAsia="仿宋_GB2312" w:cs="仿宋_GB2312"/>
                  <w:sz w:val="32"/>
                  <w:szCs w:val="32"/>
                  <w:lang w:val="en-US" w:eastAsia="zh-CN"/>
                </w:rPr>
              </m:ctrlPr>
            </m:sSubPr>
            <m:e>
              <m:r>
                <m:rPr>
                  <m:sty m:val="p"/>
                </m:rPr>
                <w:rPr>
                  <w:rFonts w:hint="eastAsia" w:ascii="Cambria Math" w:hAnsi="Cambria Math" w:eastAsia="仿宋_GB2312" w:cs="仿宋_GB2312"/>
                  <w:sz w:val="32"/>
                  <w:szCs w:val="32"/>
                  <w:lang w:val="en-US" w:eastAsia="zh-CN"/>
                </w:rPr>
                <m:t>ER</m:t>
              </m:r>
              <m:ctrlPr>
                <w:rPr>
                  <w:rFonts w:hint="eastAsia" w:ascii="Cambria Math" w:hAnsi="Cambria Math" w:eastAsia="仿宋_GB2312" w:cs="仿宋_GB2312"/>
                  <w:sz w:val="32"/>
                  <w:szCs w:val="32"/>
                  <w:lang w:val="en-US" w:eastAsia="zh-CN"/>
                </w:rPr>
              </m:ctrlPr>
            </m:e>
            <m:sub>
              <m:r>
                <m:rPr>
                  <m:sty m:val="p"/>
                </m:rPr>
                <w:rPr>
                  <w:rFonts w:hint="eastAsia" w:ascii="Cambria Math" w:hAnsi="Cambria Math" w:eastAsia="仿宋_GB2312" w:cs="仿宋_GB2312"/>
                  <w:sz w:val="32"/>
                  <w:szCs w:val="32"/>
                  <w:lang w:val="en-US" w:eastAsia="zh-CN"/>
                </w:rPr>
                <m:t>项目</m:t>
              </m:r>
              <m:ctrlPr>
                <w:rPr>
                  <w:rFonts w:hint="eastAsia" w:ascii="Cambria Math" w:hAnsi="Cambria Math" w:eastAsia="仿宋_GB2312" w:cs="仿宋_GB2312"/>
                  <w:sz w:val="32"/>
                  <w:szCs w:val="32"/>
                  <w:lang w:val="en-US" w:eastAsia="zh-CN"/>
                </w:rPr>
              </m:ctrlPr>
            </m:sub>
          </m:sSub>
          <m:r>
            <m:rPr>
              <m:sty m:val="p"/>
            </m:rPr>
            <w:rPr>
              <w:rFonts w:hint="eastAsia" w:ascii="Cambria Math" w:hAnsi="Cambria Math" w:eastAsia="仿宋_GB2312" w:cs="仿宋_GB2312"/>
              <w:sz w:val="32"/>
              <w:szCs w:val="32"/>
              <w:lang w:val="en-US" w:eastAsia="zh-CN"/>
            </w:rPr>
            <m:t>×</m:t>
          </m:r>
          <m:d>
            <m:dPr>
              <m:ctrlPr>
                <w:rPr>
                  <w:rFonts w:hint="eastAsia" w:ascii="Cambria Math" w:hAnsi="Cambria Math" w:eastAsia="仿宋_GB2312" w:cs="仿宋_GB2312"/>
                  <w:sz w:val="32"/>
                  <w:szCs w:val="32"/>
                  <w:lang w:val="en-US" w:eastAsia="zh-CN"/>
                </w:rPr>
              </m:ctrlPr>
            </m:dPr>
            <m:e>
              <m:f>
                <m:fPr>
                  <m:ctrlPr>
                    <w:rPr>
                      <w:rFonts w:hint="eastAsia" w:ascii="Cambria Math" w:hAnsi="Cambria Math" w:eastAsia="仿宋_GB2312" w:cs="仿宋_GB2312"/>
                      <w:sz w:val="32"/>
                      <w:szCs w:val="32"/>
                      <w:lang w:val="en-US" w:eastAsia="zh-CN"/>
                    </w:rPr>
                  </m:ctrlPr>
                </m:fPr>
                <m:num>
                  <m:sSub>
                    <m:sSubPr>
                      <m:ctrlPr>
                        <w:rPr>
                          <w:rFonts w:hint="eastAsia" w:ascii="Cambria Math" w:hAnsi="Cambria Math" w:eastAsia="仿宋_GB2312" w:cs="仿宋_GB2312"/>
                          <w:sz w:val="32"/>
                          <w:szCs w:val="32"/>
                          <w:lang w:val="en-US" w:eastAsia="zh-CN"/>
                        </w:rPr>
                      </m:ctrlPr>
                    </m:sSubPr>
                    <m:e>
                      <m:r>
                        <m:rPr>
                          <m:sty m:val="p"/>
                        </m:rPr>
                        <w:rPr>
                          <w:rFonts w:hint="eastAsia" w:ascii="Cambria Math" w:hAnsi="Cambria Math" w:eastAsia="仿宋_GB2312" w:cs="仿宋_GB2312"/>
                          <w:sz w:val="32"/>
                          <w:szCs w:val="32"/>
                          <w:lang w:val="en-US" w:eastAsia="zh-CN"/>
                        </w:rPr>
                        <m:t>V</m:t>
                      </m:r>
                      <m:ctrlPr>
                        <w:rPr>
                          <w:rFonts w:hint="eastAsia" w:ascii="Cambria Math" w:hAnsi="Cambria Math" w:eastAsia="仿宋_GB2312" w:cs="仿宋_GB2312"/>
                          <w:sz w:val="32"/>
                          <w:szCs w:val="32"/>
                          <w:lang w:val="en-US" w:eastAsia="zh-CN"/>
                        </w:rPr>
                      </m:ctrlPr>
                    </m:e>
                    <m:sub>
                      <m:r>
                        <m:rPr>
                          <m:sty m:val="p"/>
                        </m:rPr>
                        <w:rPr>
                          <w:rFonts w:hint="eastAsia" w:ascii="Cambria Math" w:hAnsi="Cambria Math" w:eastAsia="仿宋_GB2312" w:cs="仿宋_GB2312"/>
                          <w:sz w:val="32"/>
                          <w:szCs w:val="32"/>
                          <w:lang w:val="en-US" w:eastAsia="zh-CN"/>
                        </w:rPr>
                        <m:t>投资</m:t>
                      </m:r>
                      <m:ctrlPr>
                        <w:rPr>
                          <w:rFonts w:hint="eastAsia" w:ascii="Cambria Math" w:hAnsi="Cambria Math" w:eastAsia="仿宋_GB2312" w:cs="仿宋_GB2312"/>
                          <w:sz w:val="32"/>
                          <w:szCs w:val="32"/>
                          <w:lang w:val="en-US" w:eastAsia="zh-CN"/>
                        </w:rPr>
                      </m:ctrlPr>
                    </m:sub>
                  </m:sSub>
                  <m:ctrlPr>
                    <w:rPr>
                      <w:rFonts w:hint="eastAsia" w:ascii="Cambria Math" w:hAnsi="Cambria Math" w:eastAsia="仿宋_GB2312" w:cs="仿宋_GB2312"/>
                      <w:sz w:val="32"/>
                      <w:szCs w:val="32"/>
                      <w:lang w:val="en-US" w:eastAsia="zh-CN"/>
                    </w:rPr>
                  </m:ctrlPr>
                </m:num>
                <m:den>
                  <m:sSub>
                    <m:sSubPr>
                      <m:ctrlPr>
                        <w:rPr>
                          <w:rFonts w:hint="eastAsia" w:ascii="Cambria Math" w:hAnsi="Cambria Math" w:eastAsia="仿宋_GB2312" w:cs="仿宋_GB2312"/>
                          <w:sz w:val="32"/>
                          <w:szCs w:val="32"/>
                          <w:lang w:val="en-US" w:eastAsia="zh-CN"/>
                        </w:rPr>
                      </m:ctrlPr>
                    </m:sSubPr>
                    <m:e>
                      <m:r>
                        <m:rPr>
                          <m:sty m:val="p"/>
                        </m:rPr>
                        <w:rPr>
                          <w:rFonts w:hint="eastAsia" w:ascii="Cambria Math" w:hAnsi="Cambria Math" w:eastAsia="仿宋_GB2312" w:cs="仿宋_GB2312"/>
                          <w:sz w:val="32"/>
                          <w:szCs w:val="32"/>
                          <w:lang w:val="en-US" w:eastAsia="zh-CN"/>
                        </w:rPr>
                        <m:t>V</m:t>
                      </m:r>
                      <m:ctrlPr>
                        <w:rPr>
                          <w:rFonts w:hint="eastAsia" w:ascii="Cambria Math" w:hAnsi="Cambria Math" w:eastAsia="仿宋_GB2312" w:cs="仿宋_GB2312"/>
                          <w:sz w:val="32"/>
                          <w:szCs w:val="32"/>
                          <w:lang w:val="en-US" w:eastAsia="zh-CN"/>
                        </w:rPr>
                      </m:ctrlPr>
                    </m:e>
                    <m:sub>
                      <m:r>
                        <m:rPr>
                          <m:sty m:val="p"/>
                        </m:rPr>
                        <w:rPr>
                          <w:rFonts w:hint="eastAsia" w:ascii="Cambria Math" w:hAnsi="Cambria Math" w:eastAsia="仿宋_GB2312" w:cs="仿宋_GB2312"/>
                          <w:sz w:val="32"/>
                          <w:szCs w:val="32"/>
                          <w:lang w:val="en-US" w:eastAsia="zh-CN"/>
                        </w:rPr>
                        <m:t>总投资</m:t>
                      </m:r>
                      <m:ctrlPr>
                        <w:rPr>
                          <w:rFonts w:hint="eastAsia" w:ascii="Cambria Math" w:hAnsi="Cambria Math" w:eastAsia="仿宋_GB2312" w:cs="仿宋_GB2312"/>
                          <w:sz w:val="32"/>
                          <w:szCs w:val="32"/>
                          <w:lang w:val="en-US" w:eastAsia="zh-CN"/>
                        </w:rPr>
                      </m:ctrlPr>
                    </m:sub>
                  </m:sSub>
                  <m:ctrlPr>
                    <w:rPr>
                      <w:rFonts w:hint="eastAsia" w:ascii="Cambria Math" w:hAnsi="Cambria Math" w:eastAsia="仿宋_GB2312" w:cs="仿宋_GB2312"/>
                      <w:sz w:val="32"/>
                      <w:szCs w:val="32"/>
                      <w:lang w:val="en-US" w:eastAsia="zh-CN"/>
                    </w:rPr>
                  </m:ctrlPr>
                </m:den>
              </m:f>
              <m:ctrlPr>
                <w:rPr>
                  <w:rFonts w:hint="eastAsia" w:ascii="Cambria Math" w:hAnsi="Cambria Math" w:eastAsia="仿宋_GB2312" w:cs="仿宋_GB2312"/>
                  <w:sz w:val="32"/>
                  <w:szCs w:val="32"/>
                  <w:lang w:val="en-US" w:eastAsia="zh-CN"/>
                </w:rPr>
              </m:ctrlPr>
            </m:e>
          </m:d>
        </m:oMath>
      </m:oMathPara>
    </w:p>
    <w:p w14:paraId="10F023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公式中：</w:t>
      </w:r>
    </w:p>
    <w:p w14:paraId="61FFF9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m:oMath>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ER</m:t>
            </m:r>
            <m:ctrlPr>
              <w:rPr>
                <w:rFonts w:hint="eastAsia" w:ascii="Cambria Math" w:hAnsi="Cambria Math" w:eastAsia="仿宋_GB2312" w:cs="仿宋_GB2312"/>
                <w:sz w:val="32"/>
                <w:szCs w:val="32"/>
                <w:lang w:val="en-US"/>
              </w:rPr>
            </m:ctrlPr>
          </m:e>
          <m:sub>
            <m:r>
              <m:rPr>
                <m:sty m:val="p"/>
              </m:rPr>
              <w:rPr>
                <w:rFonts w:hint="eastAsia" w:ascii="Cambria Math" w:hAnsi="Cambria Math" w:eastAsia="仿宋_GB2312" w:cs="仿宋_GB2312"/>
                <w:sz w:val="32"/>
                <w:szCs w:val="32"/>
                <w:lang w:val="en-US" w:eastAsia="zh-CN"/>
              </w:rPr>
              <m:t>项目业务</m:t>
            </m:r>
            <m:ctrlPr>
              <w:rPr>
                <w:rFonts w:hint="eastAsia" w:ascii="Cambria Math" w:hAnsi="Cambria Math" w:eastAsia="仿宋_GB2312" w:cs="仿宋_GB2312"/>
                <w:sz w:val="32"/>
                <w:szCs w:val="32"/>
                <w:lang w:val="en-US"/>
              </w:rPr>
            </m:ctrlPr>
          </m:sub>
        </m:sSub>
      </m:oMath>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报告期内，项目融资业务对应的碳减排量，单位为</w:t>
      </w:r>
      <m:oMath>
        <m:sSub>
          <m:sSubPr>
            <m:ctrlPr>
              <w:rPr>
                <w:rFonts w:hint="eastAsia" w:ascii="Cambria Math" w:hAnsi="Cambria Math" w:eastAsia="仿宋_GB2312" w:cs="仿宋_GB2312"/>
                <w:sz w:val="32"/>
                <w:szCs w:val="32"/>
                <w:lang w:val="en-US" w:eastAsia="zh-CN"/>
              </w:rPr>
            </m:ctrlPr>
          </m:sSubPr>
          <m:e>
            <m:r>
              <m:rPr>
                <m:sty m:val="p"/>
              </m:rPr>
              <w:rPr>
                <w:rFonts w:hint="eastAsia" w:ascii="Cambria Math" w:hAnsi="Cambria Math" w:eastAsia="仿宋_GB2312" w:cs="仿宋_GB2312"/>
                <w:sz w:val="32"/>
                <w:szCs w:val="32"/>
                <w:lang w:val="en-US" w:eastAsia="zh-CN"/>
              </w:rPr>
              <m:t>tCO</m:t>
            </m:r>
            <m:ctrlPr>
              <w:rPr>
                <w:rFonts w:hint="eastAsia" w:ascii="Cambria Math" w:hAnsi="Cambria Math" w:eastAsia="仿宋_GB2312" w:cs="仿宋_GB2312"/>
                <w:sz w:val="32"/>
                <w:szCs w:val="32"/>
                <w:lang w:val="en-US" w:eastAsia="zh-CN"/>
              </w:rPr>
            </m:ctrlPr>
          </m:e>
          <m:sub>
            <m:r>
              <m:rPr>
                <m:sty m:val="p"/>
              </m:rPr>
              <w:rPr>
                <w:rFonts w:hint="eastAsia" w:ascii="Cambria Math" w:hAnsi="Cambria Math" w:eastAsia="仿宋_GB2312" w:cs="仿宋_GB2312"/>
                <w:sz w:val="32"/>
                <w:szCs w:val="32"/>
                <w:lang w:val="en-US" w:eastAsia="zh-CN"/>
              </w:rPr>
              <m:t>2</m:t>
            </m:r>
            <m:ctrlPr>
              <w:rPr>
                <w:rFonts w:hint="eastAsia" w:ascii="Cambria Math" w:hAnsi="Cambria Math" w:eastAsia="仿宋_GB2312" w:cs="仿宋_GB2312"/>
                <w:sz w:val="32"/>
                <w:szCs w:val="32"/>
                <w:lang w:val="en-US" w:eastAsia="zh-CN"/>
              </w:rPr>
            </m:ctrlPr>
          </m:sub>
        </m:sSub>
        <m:r>
          <m:rPr>
            <m:sty m:val="p"/>
          </m:rPr>
          <w:rPr>
            <w:rFonts w:hint="eastAsia" w:ascii="Cambria Math" w:hAnsi="Cambria Math" w:eastAsia="仿宋_GB2312" w:cs="仿宋_GB2312"/>
            <w:sz w:val="32"/>
            <w:szCs w:val="32"/>
            <w:lang w:val="en-US" w:eastAsia="zh-CN"/>
          </w:rPr>
          <m:t>e</m:t>
        </m:r>
      </m:oMath>
      <w:r>
        <w:rPr>
          <w:rFonts w:hint="eastAsia" w:ascii="仿宋_GB2312" w:hAnsi="仿宋_GB2312" w:eastAsia="仿宋_GB2312" w:cs="仿宋_GB2312"/>
          <w:sz w:val="32"/>
          <w:szCs w:val="32"/>
          <w:lang w:val="en-US" w:eastAsia="zh-CN"/>
        </w:rPr>
        <w:t>；</w:t>
      </w:r>
    </w:p>
    <w:p w14:paraId="24347D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m:oMath>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ER</m:t>
            </m:r>
            <m:ctrlPr>
              <w:rPr>
                <w:rFonts w:hint="eastAsia" w:ascii="Cambria Math" w:hAnsi="Cambria Math" w:eastAsia="仿宋_GB2312" w:cs="仿宋_GB2312"/>
                <w:sz w:val="32"/>
                <w:szCs w:val="32"/>
                <w:lang w:val="en-US"/>
              </w:rPr>
            </m:ctrlPr>
          </m:e>
          <m:sub>
            <m:r>
              <m:rPr>
                <m:sty m:val="p"/>
              </m:rPr>
              <w:rPr>
                <w:rFonts w:hint="eastAsia" w:ascii="Cambria Math" w:hAnsi="Cambria Math" w:eastAsia="仿宋_GB2312" w:cs="仿宋_GB2312"/>
                <w:sz w:val="32"/>
                <w:szCs w:val="32"/>
                <w:lang w:val="en-US" w:eastAsia="zh-CN"/>
              </w:rPr>
              <m:t>项目</m:t>
            </m:r>
            <m:ctrlPr>
              <w:rPr>
                <w:rFonts w:hint="eastAsia" w:ascii="Cambria Math" w:hAnsi="Cambria Math" w:eastAsia="仿宋_GB2312" w:cs="仿宋_GB2312"/>
                <w:sz w:val="32"/>
                <w:szCs w:val="32"/>
                <w:lang w:val="en-US"/>
              </w:rPr>
            </m:ctrlPr>
          </m:sub>
        </m:sSub>
      </m:oMath>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报告期内，项目的碳减排量，单位为</w:t>
      </w:r>
      <m:oMath>
        <m:sSub>
          <m:sSubPr>
            <m:ctrlPr>
              <w:rPr>
                <w:rFonts w:hint="eastAsia" w:ascii="Cambria Math" w:hAnsi="Cambria Math" w:eastAsia="仿宋_GB2312" w:cs="仿宋_GB2312"/>
                <w:sz w:val="32"/>
                <w:szCs w:val="32"/>
                <w:lang w:val="en-US" w:eastAsia="zh-CN"/>
              </w:rPr>
            </m:ctrlPr>
          </m:sSubPr>
          <m:e>
            <m:r>
              <m:rPr>
                <m:sty m:val="p"/>
              </m:rPr>
              <w:rPr>
                <w:rFonts w:hint="eastAsia" w:ascii="Cambria Math" w:hAnsi="Cambria Math" w:eastAsia="仿宋_GB2312" w:cs="仿宋_GB2312"/>
                <w:sz w:val="32"/>
                <w:szCs w:val="32"/>
                <w:lang w:val="en-US" w:eastAsia="zh-CN"/>
              </w:rPr>
              <m:t>tCO</m:t>
            </m:r>
            <m:ctrlPr>
              <w:rPr>
                <w:rFonts w:hint="eastAsia" w:ascii="Cambria Math" w:hAnsi="Cambria Math" w:eastAsia="仿宋_GB2312" w:cs="仿宋_GB2312"/>
                <w:sz w:val="32"/>
                <w:szCs w:val="32"/>
                <w:lang w:val="en-US" w:eastAsia="zh-CN"/>
              </w:rPr>
            </m:ctrlPr>
          </m:e>
          <m:sub>
            <m:r>
              <m:rPr>
                <m:sty m:val="p"/>
              </m:rPr>
              <w:rPr>
                <w:rFonts w:hint="eastAsia" w:ascii="Cambria Math" w:hAnsi="Cambria Math" w:eastAsia="仿宋_GB2312" w:cs="仿宋_GB2312"/>
                <w:sz w:val="32"/>
                <w:szCs w:val="32"/>
                <w:lang w:val="en-US" w:eastAsia="zh-CN"/>
              </w:rPr>
              <m:t>2</m:t>
            </m:r>
            <m:ctrlPr>
              <w:rPr>
                <w:rFonts w:hint="eastAsia" w:ascii="Cambria Math" w:hAnsi="Cambria Math" w:eastAsia="仿宋_GB2312" w:cs="仿宋_GB2312"/>
                <w:sz w:val="32"/>
                <w:szCs w:val="32"/>
                <w:lang w:val="en-US" w:eastAsia="zh-CN"/>
              </w:rPr>
            </m:ctrlPr>
          </m:sub>
        </m:sSub>
        <m:r>
          <m:rPr>
            <m:sty m:val="p"/>
          </m:rPr>
          <w:rPr>
            <w:rFonts w:hint="eastAsia" w:ascii="Cambria Math" w:hAnsi="Cambria Math" w:eastAsia="仿宋_GB2312" w:cs="仿宋_GB2312"/>
            <w:sz w:val="32"/>
            <w:szCs w:val="32"/>
            <w:lang w:val="en-US" w:eastAsia="zh-CN"/>
          </w:rPr>
          <m:t>e</m:t>
        </m:r>
      </m:oMath>
      <w:r>
        <w:rPr>
          <w:rFonts w:hint="eastAsia" w:ascii="仿宋_GB2312" w:hAnsi="仿宋_GB2312" w:eastAsia="仿宋_GB2312" w:cs="仿宋_GB2312"/>
          <w:sz w:val="32"/>
          <w:szCs w:val="32"/>
          <w:lang w:val="en-US" w:eastAsia="zh-CN"/>
        </w:rPr>
        <w:t>；</w:t>
      </w:r>
    </w:p>
    <w:p w14:paraId="352B12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m:oMath>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V</m:t>
            </m:r>
            <m:ctrlPr>
              <w:rPr>
                <w:rFonts w:hint="eastAsia" w:ascii="Cambria Math" w:hAnsi="Cambria Math" w:eastAsia="仿宋_GB2312" w:cs="仿宋_GB2312"/>
                <w:sz w:val="32"/>
                <w:szCs w:val="32"/>
                <w:lang w:val="en-US"/>
              </w:rPr>
            </m:ctrlPr>
          </m:e>
          <m:sub>
            <m:r>
              <m:rPr>
                <m:sty m:val="p"/>
              </m:rPr>
              <w:rPr>
                <w:rFonts w:hint="eastAsia" w:ascii="Cambria Math" w:hAnsi="Cambria Math" w:eastAsia="仿宋_GB2312" w:cs="仿宋_GB2312"/>
                <w:sz w:val="32"/>
                <w:szCs w:val="32"/>
                <w:lang w:val="en-US" w:eastAsia="zh-CN"/>
              </w:rPr>
              <m:t>投资</m:t>
            </m:r>
            <m:ctrlPr>
              <w:rPr>
                <w:rFonts w:hint="eastAsia" w:ascii="Cambria Math" w:hAnsi="Cambria Math" w:eastAsia="仿宋_GB2312" w:cs="仿宋_GB2312"/>
                <w:sz w:val="32"/>
                <w:szCs w:val="32"/>
                <w:lang w:val="en-US"/>
              </w:rPr>
            </m:ctrlPr>
          </m:sub>
        </m:sSub>
      </m:oMath>
      <w:r>
        <w:rPr>
          <w:rFonts w:hint="eastAsia" w:ascii="仿宋_GB2312" w:hAnsi="仿宋_GB2312" w:eastAsia="仿宋_GB2312" w:cs="仿宋_GB2312"/>
          <w:sz w:val="32"/>
          <w:szCs w:val="32"/>
          <w:lang w:val="en-US" w:eastAsia="zh-CN"/>
        </w:rPr>
        <w:t>--报告期内，金融机构对项目的月均投资额，单位为万元；</w:t>
      </w:r>
    </w:p>
    <w:p w14:paraId="353C00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m:oMath>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V</m:t>
            </m:r>
            <m:ctrlPr>
              <w:rPr>
                <w:rFonts w:hint="eastAsia" w:ascii="Cambria Math" w:hAnsi="Cambria Math" w:eastAsia="仿宋_GB2312" w:cs="仿宋_GB2312"/>
                <w:sz w:val="32"/>
                <w:szCs w:val="32"/>
                <w:lang w:val="en-US"/>
              </w:rPr>
            </m:ctrlPr>
          </m:e>
          <m:sub>
            <m:r>
              <m:rPr>
                <m:sty m:val="p"/>
              </m:rPr>
              <w:rPr>
                <w:rFonts w:hint="eastAsia" w:ascii="Cambria Math" w:hAnsi="Cambria Math" w:eastAsia="仿宋_GB2312" w:cs="仿宋_GB2312"/>
                <w:sz w:val="32"/>
                <w:szCs w:val="32"/>
                <w:lang w:val="en-US" w:eastAsia="zh-CN"/>
              </w:rPr>
              <m:t>总投资</m:t>
            </m:r>
            <m:ctrlPr>
              <w:rPr>
                <w:rFonts w:hint="eastAsia" w:ascii="Cambria Math" w:hAnsi="Cambria Math" w:eastAsia="仿宋_GB2312" w:cs="仿宋_GB2312"/>
                <w:sz w:val="32"/>
                <w:szCs w:val="32"/>
                <w:lang w:val="en-US"/>
              </w:rPr>
            </m:ctrlPr>
          </m:sub>
        </m:sSub>
      </m:oMath>
      <w:r>
        <w:rPr>
          <w:rFonts w:hint="eastAsia" w:ascii="仿宋_GB2312" w:hAnsi="仿宋_GB2312" w:eastAsia="仿宋_GB2312" w:cs="仿宋_GB2312"/>
          <w:sz w:val="32"/>
          <w:szCs w:val="32"/>
          <w:lang w:val="en-US" w:eastAsia="zh-CN"/>
        </w:rPr>
        <w:t>--报告期内，项目的总投资额，单位为万元。</w:t>
      </w:r>
    </w:p>
    <w:p w14:paraId="57C3FB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当</w:t>
      </w:r>
      <m:oMath>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V</m:t>
            </m:r>
            <m:ctrlPr>
              <w:rPr>
                <w:rFonts w:hint="eastAsia" w:ascii="Cambria Math" w:hAnsi="Cambria Math" w:eastAsia="仿宋_GB2312" w:cs="仿宋_GB2312"/>
                <w:sz w:val="32"/>
                <w:szCs w:val="32"/>
                <w:lang w:val="en-US"/>
              </w:rPr>
            </m:ctrlPr>
          </m:e>
          <m:sub>
            <m:r>
              <m:rPr>
                <m:sty m:val="p"/>
              </m:rPr>
              <w:rPr>
                <w:rFonts w:hint="eastAsia" w:ascii="Cambria Math" w:hAnsi="Cambria Math" w:eastAsia="仿宋_GB2312" w:cs="仿宋_GB2312"/>
                <w:sz w:val="32"/>
                <w:szCs w:val="32"/>
                <w:lang w:val="en-US" w:eastAsia="zh-CN"/>
              </w:rPr>
              <m:t>投资</m:t>
            </m:r>
            <m:ctrlPr>
              <w:rPr>
                <w:rFonts w:hint="eastAsia" w:ascii="Cambria Math" w:hAnsi="Cambria Math" w:eastAsia="仿宋_GB2312" w:cs="仿宋_GB2312"/>
                <w:sz w:val="32"/>
                <w:szCs w:val="32"/>
                <w:lang w:val="en-US"/>
              </w:rPr>
            </m:ctrlPr>
          </m:sub>
        </m:sSub>
        <m:r>
          <m:rPr>
            <m:sty m:val="p"/>
          </m:rPr>
          <w:rPr>
            <w:rFonts w:hint="eastAsia" w:ascii="Cambria Math" w:hAnsi="Cambria Math" w:eastAsia="仿宋_GB2312" w:cs="仿宋_GB2312"/>
            <w:sz w:val="32"/>
            <w:szCs w:val="32"/>
            <w:lang w:val="en-US"/>
          </w:rPr>
          <m:t>&gt;</m:t>
        </m:r>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V</m:t>
            </m:r>
            <m:ctrlPr>
              <w:rPr>
                <w:rFonts w:hint="eastAsia" w:ascii="Cambria Math" w:hAnsi="Cambria Math" w:eastAsia="仿宋_GB2312" w:cs="仿宋_GB2312"/>
                <w:sz w:val="32"/>
                <w:szCs w:val="32"/>
                <w:lang w:val="en-US"/>
              </w:rPr>
            </m:ctrlPr>
          </m:e>
          <m:sub>
            <m:r>
              <m:rPr>
                <m:sty m:val="p"/>
              </m:rPr>
              <w:rPr>
                <w:rFonts w:hint="eastAsia" w:ascii="Cambria Math" w:hAnsi="Cambria Math" w:eastAsia="仿宋_GB2312" w:cs="仿宋_GB2312"/>
                <w:sz w:val="32"/>
                <w:szCs w:val="32"/>
                <w:lang w:val="en-US" w:eastAsia="zh-CN"/>
              </w:rPr>
              <m:t>总投资</m:t>
            </m:r>
            <m:ctrlPr>
              <w:rPr>
                <w:rFonts w:hint="eastAsia" w:ascii="Cambria Math" w:hAnsi="Cambria Math" w:eastAsia="仿宋_GB2312" w:cs="仿宋_GB2312"/>
                <w:sz w:val="32"/>
                <w:szCs w:val="32"/>
                <w:lang w:val="en-US"/>
              </w:rPr>
            </m:ctrlPr>
          </m:sub>
        </m:sSub>
      </m:oMath>
      <w:r>
        <w:rPr>
          <w:rFonts w:hint="eastAsia" w:ascii="仿宋_GB2312" w:hAnsi="仿宋_GB2312" w:eastAsia="仿宋_GB2312" w:cs="仿宋_GB2312"/>
          <w:sz w:val="32"/>
          <w:szCs w:val="32"/>
          <w:lang w:val="en-US" w:eastAsia="zh-CN"/>
        </w:rPr>
        <w:t>时，</w:t>
      </w:r>
      <m:oMath>
        <m:d>
          <m:dPr>
            <m:ctrlPr>
              <w:rPr>
                <w:rFonts w:hint="eastAsia" w:ascii="Cambria Math" w:hAnsi="Cambria Math" w:eastAsia="仿宋_GB2312" w:cs="仿宋_GB2312"/>
                <w:sz w:val="32"/>
                <w:szCs w:val="32"/>
                <w:lang w:val="en-US"/>
              </w:rPr>
            </m:ctrlPr>
          </m:dPr>
          <m:e>
            <m:f>
              <m:fPr>
                <m:ctrlPr>
                  <w:rPr>
                    <w:rFonts w:hint="eastAsia" w:ascii="Cambria Math" w:hAnsi="Cambria Math" w:eastAsia="仿宋_GB2312" w:cs="仿宋_GB2312"/>
                    <w:sz w:val="32"/>
                    <w:szCs w:val="32"/>
                    <w:lang w:val="en-US"/>
                  </w:rPr>
                </m:ctrlPr>
              </m:fPr>
              <m:num>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V</m:t>
                    </m:r>
                    <m:ctrlPr>
                      <w:rPr>
                        <w:rFonts w:hint="eastAsia" w:ascii="Cambria Math" w:hAnsi="Cambria Math" w:eastAsia="仿宋_GB2312" w:cs="仿宋_GB2312"/>
                        <w:sz w:val="32"/>
                        <w:szCs w:val="32"/>
                        <w:lang w:val="en-US"/>
                      </w:rPr>
                    </m:ctrlPr>
                  </m:e>
                  <m:sub>
                    <m:r>
                      <m:rPr>
                        <m:sty m:val="p"/>
                      </m:rPr>
                      <w:rPr>
                        <w:rFonts w:hint="eastAsia" w:ascii="Cambria Math" w:hAnsi="Cambria Math" w:eastAsia="仿宋_GB2312" w:cs="仿宋_GB2312"/>
                        <w:sz w:val="32"/>
                        <w:szCs w:val="32"/>
                        <w:lang w:val="en-US" w:eastAsia="zh-CN"/>
                      </w:rPr>
                      <m:t>投资</m:t>
                    </m:r>
                    <m:ctrlPr>
                      <w:rPr>
                        <w:rFonts w:hint="eastAsia" w:ascii="Cambria Math" w:hAnsi="Cambria Math" w:eastAsia="仿宋_GB2312" w:cs="仿宋_GB2312"/>
                        <w:sz w:val="32"/>
                        <w:szCs w:val="32"/>
                        <w:lang w:val="en-US"/>
                      </w:rPr>
                    </m:ctrlPr>
                  </m:sub>
                </m:sSub>
                <m:ctrlPr>
                  <w:rPr>
                    <w:rFonts w:hint="eastAsia" w:ascii="Cambria Math" w:hAnsi="Cambria Math" w:eastAsia="仿宋_GB2312" w:cs="仿宋_GB2312"/>
                    <w:sz w:val="32"/>
                    <w:szCs w:val="32"/>
                    <w:lang w:val="en-US"/>
                  </w:rPr>
                </m:ctrlPr>
              </m:num>
              <m:den>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V</m:t>
                    </m:r>
                    <m:ctrlPr>
                      <w:rPr>
                        <w:rFonts w:hint="eastAsia" w:ascii="Cambria Math" w:hAnsi="Cambria Math" w:eastAsia="仿宋_GB2312" w:cs="仿宋_GB2312"/>
                        <w:sz w:val="32"/>
                        <w:szCs w:val="32"/>
                        <w:lang w:val="en-US"/>
                      </w:rPr>
                    </m:ctrlPr>
                  </m:e>
                  <m:sub>
                    <m:r>
                      <m:rPr>
                        <m:sty m:val="p"/>
                      </m:rPr>
                      <w:rPr>
                        <w:rFonts w:hint="eastAsia" w:ascii="Cambria Math" w:hAnsi="Cambria Math" w:eastAsia="仿宋_GB2312" w:cs="仿宋_GB2312"/>
                        <w:sz w:val="32"/>
                        <w:szCs w:val="32"/>
                        <w:lang w:val="en-US" w:eastAsia="zh-CN"/>
                      </w:rPr>
                      <m:t>总投资</m:t>
                    </m:r>
                    <m:ctrlPr>
                      <w:rPr>
                        <w:rFonts w:hint="eastAsia" w:ascii="Cambria Math" w:hAnsi="Cambria Math" w:eastAsia="仿宋_GB2312" w:cs="仿宋_GB2312"/>
                        <w:sz w:val="32"/>
                        <w:szCs w:val="32"/>
                        <w:lang w:val="en-US"/>
                      </w:rPr>
                    </m:ctrlPr>
                  </m:sub>
                </m:sSub>
                <m:ctrlPr>
                  <w:rPr>
                    <w:rFonts w:hint="eastAsia" w:ascii="Cambria Math" w:hAnsi="Cambria Math" w:eastAsia="仿宋_GB2312" w:cs="仿宋_GB2312"/>
                    <w:sz w:val="32"/>
                    <w:szCs w:val="32"/>
                    <w:lang w:val="en-US"/>
                  </w:rPr>
                </m:ctrlPr>
              </m:den>
            </m:f>
            <m:ctrlPr>
              <w:rPr>
                <w:rFonts w:hint="eastAsia" w:ascii="Cambria Math" w:hAnsi="Cambria Math" w:eastAsia="仿宋_GB2312" w:cs="仿宋_GB2312"/>
                <w:sz w:val="32"/>
                <w:szCs w:val="32"/>
                <w:lang w:val="en-US"/>
              </w:rPr>
            </m:ctrlPr>
          </m:e>
        </m:d>
        <m:r>
          <m:rPr>
            <m:sty m:val="p"/>
          </m:rPr>
          <w:rPr>
            <w:rFonts w:hint="eastAsia" w:ascii="Cambria Math" w:hAnsi="Cambria Math" w:eastAsia="仿宋_GB2312" w:cs="仿宋_GB2312"/>
            <w:sz w:val="32"/>
            <w:szCs w:val="32"/>
            <w:lang w:val="en-US" w:eastAsia="zh-CN"/>
          </w:rPr>
          <m:t>=1</m:t>
        </m:r>
      </m:oMath>
      <w:r>
        <w:rPr>
          <w:rFonts w:hint="eastAsia" w:ascii="仿宋_GB2312" w:hAnsi="仿宋_GB2312" w:eastAsia="仿宋_GB2312" w:cs="仿宋_GB2312"/>
          <w:sz w:val="32"/>
          <w:szCs w:val="32"/>
          <w:lang w:val="en-US" w:eastAsia="zh-CN"/>
        </w:rPr>
        <w:t>。</w:t>
      </w:r>
    </w:p>
    <w:p w14:paraId="3B4DF0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金融机构项目融资业务的碳减排量等于全部项目融资业务对应的碳减排量之和。</w:t>
      </w:r>
    </w:p>
    <w:p w14:paraId="1FD8ADA3">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非项目融资碳减排测算</w:t>
      </w:r>
    </w:p>
    <w:p w14:paraId="60D276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非项目融资碳减排测算应与非项目融资业务碳排放核算的对象保持一致。</w:t>
      </w:r>
    </w:p>
    <w:p w14:paraId="6F30F6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融资主体属于相关主管部门及各级政府确定的重点用能单位、重点排放单位及纳入碳排放交易的单位的，应参照相关国家标准、指南等技术性文件或已备案的国家温室气体自愿减排方法学，确定其报告期内的碳减排量。对于其他类型融资主体，除参照GB/T13234中后推校准法的要求，选择适用的评估方法确定其报告期内的碳减排量外，也可采用简化方法估算碳减排量。</w:t>
      </w:r>
    </w:p>
    <w:p w14:paraId="4C9941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根据金融机构对融资主体的融资额与融资主体主营业务收入的比例分摊折算非项目融资业务对应的碳减排量，如以下公式所示：</w:t>
      </w:r>
    </w:p>
    <w:p w14:paraId="111F71D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m:oMathPara>
        <m:oMath>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ER</m:t>
              </m:r>
              <m:ctrlPr>
                <w:rPr>
                  <w:rFonts w:hint="eastAsia" w:ascii="Cambria Math" w:hAnsi="Cambria Math" w:eastAsia="仿宋_GB2312" w:cs="仿宋_GB2312"/>
                  <w:sz w:val="32"/>
                  <w:szCs w:val="32"/>
                  <w:lang w:val="en-US"/>
                </w:rPr>
              </m:ctrlPr>
            </m:e>
            <m:sub>
              <m:r>
                <m:rPr>
                  <m:sty m:val="p"/>
                </m:rPr>
                <w:rPr>
                  <w:rFonts w:hint="eastAsia" w:ascii="Cambria Math" w:hAnsi="Cambria Math" w:eastAsia="仿宋_GB2312" w:cs="仿宋_GB2312"/>
                  <w:sz w:val="32"/>
                  <w:szCs w:val="32"/>
                  <w:lang w:val="en-US" w:eastAsia="zh-CN"/>
                </w:rPr>
                <m:t>非项目业务</m:t>
              </m:r>
              <m:ctrlPr>
                <w:rPr>
                  <w:rFonts w:hint="eastAsia" w:ascii="Cambria Math" w:hAnsi="Cambria Math" w:eastAsia="仿宋_GB2312" w:cs="仿宋_GB2312"/>
                  <w:sz w:val="32"/>
                  <w:szCs w:val="32"/>
                  <w:lang w:val="en-US"/>
                </w:rPr>
              </m:ctrlPr>
            </m:sub>
          </m:sSub>
          <m:r>
            <m:rPr>
              <m:sty m:val="p"/>
            </m:rPr>
            <w:rPr>
              <w:rFonts w:hint="eastAsia" w:ascii="Cambria Math" w:hAnsi="Cambria Math" w:eastAsia="仿宋_GB2312" w:cs="仿宋_GB2312"/>
              <w:sz w:val="32"/>
              <w:szCs w:val="32"/>
              <w:lang w:val="en-US" w:eastAsia="zh-CN"/>
            </w:rPr>
            <m:t>=</m:t>
          </m:r>
          <m:sSub>
            <m:sSubPr>
              <m:ctrlPr>
                <w:rPr>
                  <w:rFonts w:hint="eastAsia" w:ascii="Cambria Math" w:hAnsi="Cambria Math" w:eastAsia="仿宋_GB2312" w:cs="仿宋_GB2312"/>
                  <w:sz w:val="32"/>
                  <w:szCs w:val="32"/>
                  <w:lang w:val="en-US" w:eastAsia="zh-CN"/>
                </w:rPr>
              </m:ctrlPr>
            </m:sSubPr>
            <m:e>
              <m:r>
                <m:rPr>
                  <m:sty m:val="p"/>
                </m:rPr>
                <w:rPr>
                  <w:rFonts w:hint="eastAsia" w:ascii="Cambria Math" w:hAnsi="Cambria Math" w:eastAsia="仿宋_GB2312" w:cs="仿宋_GB2312"/>
                  <w:sz w:val="32"/>
                  <w:szCs w:val="32"/>
                  <w:lang w:val="en-US" w:eastAsia="zh-CN"/>
                </w:rPr>
                <m:t>ER</m:t>
              </m:r>
              <m:ctrlPr>
                <w:rPr>
                  <w:rFonts w:hint="eastAsia" w:ascii="Cambria Math" w:hAnsi="Cambria Math" w:eastAsia="仿宋_GB2312" w:cs="仿宋_GB2312"/>
                  <w:sz w:val="32"/>
                  <w:szCs w:val="32"/>
                  <w:lang w:val="en-US" w:eastAsia="zh-CN"/>
                </w:rPr>
              </m:ctrlPr>
            </m:e>
            <m:sub>
              <m:r>
                <m:rPr>
                  <m:sty m:val="p"/>
                </m:rPr>
                <w:rPr>
                  <w:rFonts w:hint="eastAsia" w:ascii="Cambria Math" w:hAnsi="Cambria Math" w:eastAsia="仿宋_GB2312" w:cs="仿宋_GB2312"/>
                  <w:sz w:val="32"/>
                  <w:szCs w:val="32"/>
                  <w:lang w:val="en-US" w:eastAsia="zh-CN"/>
                </w:rPr>
                <m:t>主体</m:t>
              </m:r>
              <m:ctrlPr>
                <w:rPr>
                  <w:rFonts w:hint="eastAsia" w:ascii="Cambria Math" w:hAnsi="Cambria Math" w:eastAsia="仿宋_GB2312" w:cs="仿宋_GB2312"/>
                  <w:sz w:val="32"/>
                  <w:szCs w:val="32"/>
                  <w:lang w:val="en-US" w:eastAsia="zh-CN"/>
                </w:rPr>
              </m:ctrlPr>
            </m:sub>
          </m:sSub>
          <m:r>
            <m:rPr>
              <m:sty m:val="p"/>
            </m:rPr>
            <w:rPr>
              <w:rFonts w:hint="eastAsia" w:ascii="Cambria Math" w:hAnsi="Cambria Math" w:eastAsia="仿宋_GB2312" w:cs="仿宋_GB2312"/>
              <w:sz w:val="32"/>
              <w:szCs w:val="32"/>
              <w:lang w:val="en-US" w:eastAsia="zh-CN"/>
            </w:rPr>
            <m:t>×</m:t>
          </m:r>
          <m:d>
            <m:dPr>
              <m:ctrlPr>
                <w:rPr>
                  <w:rFonts w:hint="eastAsia" w:ascii="Cambria Math" w:hAnsi="Cambria Math" w:eastAsia="仿宋_GB2312" w:cs="仿宋_GB2312"/>
                  <w:sz w:val="32"/>
                  <w:szCs w:val="32"/>
                  <w:lang w:val="en-US" w:eastAsia="zh-CN"/>
                </w:rPr>
              </m:ctrlPr>
            </m:dPr>
            <m:e>
              <m:f>
                <m:fPr>
                  <m:ctrlPr>
                    <w:rPr>
                      <w:rFonts w:hint="eastAsia" w:ascii="Cambria Math" w:hAnsi="Cambria Math" w:eastAsia="仿宋_GB2312" w:cs="仿宋_GB2312"/>
                      <w:sz w:val="32"/>
                      <w:szCs w:val="32"/>
                      <w:lang w:val="en-US" w:eastAsia="zh-CN"/>
                    </w:rPr>
                  </m:ctrlPr>
                </m:fPr>
                <m:num>
                  <m:sSub>
                    <m:sSubPr>
                      <m:ctrlPr>
                        <w:rPr>
                          <w:rFonts w:hint="eastAsia" w:ascii="Cambria Math" w:hAnsi="Cambria Math" w:eastAsia="仿宋_GB2312" w:cs="仿宋_GB2312"/>
                          <w:sz w:val="32"/>
                          <w:szCs w:val="32"/>
                          <w:lang w:val="en-US" w:eastAsia="zh-CN"/>
                        </w:rPr>
                      </m:ctrlPr>
                    </m:sSubPr>
                    <m:e>
                      <m:r>
                        <m:rPr>
                          <m:sty m:val="p"/>
                        </m:rPr>
                        <w:rPr>
                          <w:rFonts w:hint="eastAsia" w:ascii="Cambria Math" w:hAnsi="Cambria Math" w:eastAsia="仿宋_GB2312" w:cs="仿宋_GB2312"/>
                          <w:sz w:val="32"/>
                          <w:szCs w:val="32"/>
                          <w:lang w:val="en-US" w:eastAsia="zh-CN"/>
                        </w:rPr>
                        <m:t>V</m:t>
                      </m:r>
                      <m:ctrlPr>
                        <w:rPr>
                          <w:rFonts w:hint="eastAsia" w:ascii="Cambria Math" w:hAnsi="Cambria Math" w:eastAsia="仿宋_GB2312" w:cs="仿宋_GB2312"/>
                          <w:sz w:val="32"/>
                          <w:szCs w:val="32"/>
                          <w:lang w:val="en-US" w:eastAsia="zh-CN"/>
                        </w:rPr>
                      </m:ctrlPr>
                    </m:e>
                    <m:sub>
                      <m:r>
                        <m:rPr>
                          <m:sty m:val="p"/>
                        </m:rPr>
                        <w:rPr>
                          <w:rFonts w:hint="eastAsia" w:ascii="Cambria Math" w:hAnsi="Cambria Math" w:eastAsia="仿宋_GB2312" w:cs="仿宋_GB2312"/>
                          <w:sz w:val="32"/>
                          <w:szCs w:val="32"/>
                          <w:lang w:val="en-US" w:eastAsia="zh-CN"/>
                        </w:rPr>
                        <m:t>融资</m:t>
                      </m:r>
                      <m:ctrlPr>
                        <w:rPr>
                          <w:rFonts w:hint="eastAsia" w:ascii="Cambria Math" w:hAnsi="Cambria Math" w:eastAsia="仿宋_GB2312" w:cs="仿宋_GB2312"/>
                          <w:sz w:val="32"/>
                          <w:szCs w:val="32"/>
                          <w:lang w:val="en-US" w:eastAsia="zh-CN"/>
                        </w:rPr>
                      </m:ctrlPr>
                    </m:sub>
                  </m:sSub>
                  <m:ctrlPr>
                    <w:rPr>
                      <w:rFonts w:hint="eastAsia" w:ascii="Cambria Math" w:hAnsi="Cambria Math" w:eastAsia="仿宋_GB2312" w:cs="仿宋_GB2312"/>
                      <w:sz w:val="32"/>
                      <w:szCs w:val="32"/>
                      <w:lang w:val="en-US" w:eastAsia="zh-CN"/>
                    </w:rPr>
                  </m:ctrlPr>
                </m:num>
                <m:den>
                  <m:sSub>
                    <m:sSubPr>
                      <m:ctrlPr>
                        <w:rPr>
                          <w:rFonts w:hint="eastAsia" w:ascii="Cambria Math" w:hAnsi="Cambria Math" w:eastAsia="仿宋_GB2312" w:cs="仿宋_GB2312"/>
                          <w:sz w:val="32"/>
                          <w:szCs w:val="32"/>
                          <w:lang w:val="en-US" w:eastAsia="zh-CN"/>
                        </w:rPr>
                      </m:ctrlPr>
                    </m:sSubPr>
                    <m:e>
                      <m:r>
                        <m:rPr>
                          <m:sty m:val="p"/>
                        </m:rPr>
                        <w:rPr>
                          <w:rFonts w:hint="eastAsia" w:ascii="Cambria Math" w:hAnsi="Cambria Math" w:eastAsia="仿宋_GB2312" w:cs="仿宋_GB2312"/>
                          <w:sz w:val="32"/>
                          <w:szCs w:val="32"/>
                          <w:lang w:val="en-US" w:eastAsia="zh-CN"/>
                        </w:rPr>
                        <m:t>V</m:t>
                      </m:r>
                      <m:ctrlPr>
                        <w:rPr>
                          <w:rFonts w:hint="eastAsia" w:ascii="Cambria Math" w:hAnsi="Cambria Math" w:eastAsia="仿宋_GB2312" w:cs="仿宋_GB2312"/>
                          <w:sz w:val="32"/>
                          <w:szCs w:val="32"/>
                          <w:lang w:val="en-US" w:eastAsia="zh-CN"/>
                        </w:rPr>
                      </m:ctrlPr>
                    </m:e>
                    <m:sub>
                      <m:r>
                        <m:rPr>
                          <m:sty m:val="p"/>
                        </m:rPr>
                        <w:rPr>
                          <w:rFonts w:hint="eastAsia" w:ascii="Cambria Math" w:hAnsi="Cambria Math" w:eastAsia="仿宋_GB2312" w:cs="仿宋_GB2312"/>
                          <w:sz w:val="32"/>
                          <w:szCs w:val="32"/>
                          <w:lang w:val="en-US" w:eastAsia="zh-CN"/>
                        </w:rPr>
                        <m:t>收入</m:t>
                      </m:r>
                      <m:ctrlPr>
                        <w:rPr>
                          <w:rFonts w:hint="eastAsia" w:ascii="Cambria Math" w:hAnsi="Cambria Math" w:eastAsia="仿宋_GB2312" w:cs="仿宋_GB2312"/>
                          <w:sz w:val="32"/>
                          <w:szCs w:val="32"/>
                          <w:lang w:val="en-US" w:eastAsia="zh-CN"/>
                        </w:rPr>
                      </m:ctrlPr>
                    </m:sub>
                  </m:sSub>
                  <m:ctrlPr>
                    <w:rPr>
                      <w:rFonts w:hint="eastAsia" w:ascii="Cambria Math" w:hAnsi="Cambria Math" w:eastAsia="仿宋_GB2312" w:cs="仿宋_GB2312"/>
                      <w:sz w:val="32"/>
                      <w:szCs w:val="32"/>
                      <w:lang w:val="en-US" w:eastAsia="zh-CN"/>
                    </w:rPr>
                  </m:ctrlPr>
                </m:den>
              </m:f>
              <m:ctrlPr>
                <w:rPr>
                  <w:rFonts w:hint="eastAsia" w:ascii="Cambria Math" w:hAnsi="Cambria Math" w:eastAsia="仿宋_GB2312" w:cs="仿宋_GB2312"/>
                  <w:sz w:val="32"/>
                  <w:szCs w:val="32"/>
                  <w:lang w:val="en-US" w:eastAsia="zh-CN"/>
                </w:rPr>
              </m:ctrlPr>
            </m:e>
          </m:d>
        </m:oMath>
      </m:oMathPara>
    </w:p>
    <w:p w14:paraId="3D9025F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公式中：</w:t>
      </w:r>
    </w:p>
    <w:p w14:paraId="1F299DA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m:oMath>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ER</m:t>
            </m:r>
            <m:ctrlPr>
              <w:rPr>
                <w:rFonts w:hint="eastAsia" w:ascii="Cambria Math" w:hAnsi="Cambria Math" w:eastAsia="仿宋_GB2312" w:cs="仿宋_GB2312"/>
                <w:sz w:val="32"/>
                <w:szCs w:val="32"/>
                <w:lang w:val="en-US"/>
              </w:rPr>
            </m:ctrlPr>
          </m:e>
          <m:sub>
            <m:argPr>
              <m:argSz m:val="-2"/>
            </m:argPr>
            <m:r>
              <m:rPr>
                <m:sty m:val="p"/>
              </m:rPr>
              <w:rPr>
                <w:rFonts w:hint="eastAsia" w:ascii="Cambria Math" w:hAnsi="Cambria Math" w:eastAsia="仿宋_GB2312" w:cs="仿宋_GB2312"/>
                <w:sz w:val="32"/>
                <w:szCs w:val="32"/>
                <w:lang w:val="en-US" w:eastAsia="zh-CN"/>
              </w:rPr>
              <m:t>非项目业务</m:t>
            </m:r>
            <m:ctrlPr>
              <w:rPr>
                <w:rFonts w:hint="eastAsia" w:ascii="Cambria Math" w:hAnsi="Cambria Math" w:eastAsia="仿宋_GB2312" w:cs="仿宋_GB2312"/>
                <w:sz w:val="32"/>
                <w:szCs w:val="32"/>
                <w:lang w:val="en-US"/>
              </w:rPr>
            </m:ctrlPr>
          </m:sub>
        </m:sSub>
      </m:oMath>
      <w:r>
        <w:rPr>
          <w:rFonts w:hint="eastAsia" w:ascii="仿宋_GB2312" w:hAnsi="仿宋_GB2312" w:eastAsia="仿宋_GB2312" w:cs="仿宋_GB2312"/>
          <w:sz w:val="32"/>
          <w:szCs w:val="32"/>
          <w:lang w:val="en-US" w:eastAsia="zh-CN"/>
        </w:rPr>
        <w:t>--报告期内，非项目融资业务对应的碳减排量，单位为</w:t>
      </w:r>
      <m:oMath>
        <m:sSub>
          <m:sSubPr>
            <m:ctrlPr>
              <w:rPr>
                <w:rFonts w:hint="eastAsia" w:ascii="Cambria Math" w:hAnsi="Cambria Math" w:eastAsia="仿宋_GB2312" w:cs="仿宋_GB2312"/>
                <w:sz w:val="32"/>
                <w:szCs w:val="32"/>
                <w:lang w:val="en-US" w:eastAsia="zh-CN"/>
              </w:rPr>
            </m:ctrlPr>
          </m:sSubPr>
          <m:e>
            <m:r>
              <m:rPr>
                <m:sty m:val="p"/>
              </m:rPr>
              <w:rPr>
                <w:rFonts w:hint="eastAsia" w:ascii="Cambria Math" w:hAnsi="Cambria Math" w:eastAsia="仿宋_GB2312" w:cs="仿宋_GB2312"/>
                <w:sz w:val="32"/>
                <w:szCs w:val="32"/>
                <w:lang w:val="en-US" w:eastAsia="zh-CN"/>
              </w:rPr>
              <m:t>tCO</m:t>
            </m:r>
            <m:ctrlPr>
              <w:rPr>
                <w:rFonts w:hint="eastAsia" w:ascii="Cambria Math" w:hAnsi="Cambria Math" w:eastAsia="仿宋_GB2312" w:cs="仿宋_GB2312"/>
                <w:sz w:val="32"/>
                <w:szCs w:val="32"/>
                <w:lang w:val="en-US" w:eastAsia="zh-CN"/>
              </w:rPr>
            </m:ctrlPr>
          </m:e>
          <m:sub>
            <m:r>
              <m:rPr>
                <m:sty m:val="p"/>
              </m:rPr>
              <w:rPr>
                <w:rFonts w:hint="eastAsia" w:ascii="Cambria Math" w:hAnsi="Cambria Math" w:eastAsia="仿宋_GB2312" w:cs="仿宋_GB2312"/>
                <w:sz w:val="32"/>
                <w:szCs w:val="32"/>
                <w:lang w:val="en-US" w:eastAsia="zh-CN"/>
              </w:rPr>
              <m:t>2</m:t>
            </m:r>
            <m:ctrlPr>
              <w:rPr>
                <w:rFonts w:hint="eastAsia" w:ascii="Cambria Math" w:hAnsi="Cambria Math" w:eastAsia="仿宋_GB2312" w:cs="仿宋_GB2312"/>
                <w:sz w:val="32"/>
                <w:szCs w:val="32"/>
                <w:lang w:val="en-US" w:eastAsia="zh-CN"/>
              </w:rPr>
            </m:ctrlPr>
          </m:sub>
        </m:sSub>
        <m:r>
          <m:rPr>
            <m:sty m:val="p"/>
          </m:rPr>
          <w:rPr>
            <w:rFonts w:hint="eastAsia" w:ascii="Cambria Math" w:hAnsi="Cambria Math" w:eastAsia="仿宋_GB2312" w:cs="仿宋_GB2312"/>
            <w:sz w:val="32"/>
            <w:szCs w:val="32"/>
            <w:lang w:val="en-US" w:eastAsia="zh-CN"/>
          </w:rPr>
          <m:t>e</m:t>
        </m:r>
      </m:oMath>
      <w:r>
        <w:rPr>
          <w:rFonts w:hint="eastAsia" w:ascii="仿宋_GB2312" w:hAnsi="仿宋_GB2312" w:eastAsia="仿宋_GB2312" w:cs="仿宋_GB2312"/>
          <w:sz w:val="32"/>
          <w:szCs w:val="32"/>
          <w:lang w:val="en-US" w:eastAsia="zh-CN"/>
        </w:rPr>
        <w:t>；</w:t>
      </w:r>
    </w:p>
    <w:p w14:paraId="1B66E2B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m:oMath>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ER</m:t>
            </m:r>
            <m:ctrlPr>
              <w:rPr>
                <w:rFonts w:hint="eastAsia" w:ascii="Cambria Math" w:hAnsi="Cambria Math" w:eastAsia="仿宋_GB2312" w:cs="仿宋_GB2312"/>
                <w:sz w:val="32"/>
                <w:szCs w:val="32"/>
                <w:lang w:val="en-US"/>
              </w:rPr>
            </m:ctrlPr>
          </m:e>
          <m:sub>
            <m:argPr>
              <m:argSz m:val="-1"/>
            </m:argPr>
            <m:r>
              <m:rPr>
                <m:sty m:val="p"/>
              </m:rPr>
              <w:rPr>
                <w:rFonts w:hint="eastAsia" w:ascii="Cambria Math" w:hAnsi="Cambria Math" w:eastAsia="仿宋_GB2312" w:cs="仿宋_GB2312"/>
                <w:sz w:val="32"/>
                <w:szCs w:val="32"/>
                <w:lang w:val="en-US" w:eastAsia="zh-CN"/>
              </w:rPr>
              <m:t>主体</m:t>
            </m:r>
            <m:ctrlPr>
              <w:rPr>
                <w:rFonts w:hint="eastAsia" w:ascii="Cambria Math" w:hAnsi="Cambria Math" w:eastAsia="仿宋_GB2312" w:cs="仿宋_GB2312"/>
                <w:sz w:val="32"/>
                <w:szCs w:val="32"/>
                <w:lang w:val="en-US"/>
              </w:rPr>
            </m:ctrlPr>
          </m:sub>
        </m:sSub>
      </m:oMath>
      <w:r>
        <w:rPr>
          <w:rFonts w:hint="eastAsia" w:ascii="仿宋_GB2312" w:hAnsi="仿宋_GB2312" w:eastAsia="仿宋_GB2312" w:cs="仿宋_GB2312"/>
          <w:sz w:val="32"/>
          <w:szCs w:val="32"/>
          <w:lang w:val="en-US" w:eastAsia="zh-CN"/>
        </w:rPr>
        <w:t>--报告期内，非项目融资业务相关融资主体的碳减排量，单位为</w:t>
      </w:r>
      <m:oMath>
        <m:sSub>
          <m:sSubPr>
            <m:ctrlPr>
              <w:rPr>
                <w:rFonts w:hint="eastAsia" w:ascii="Cambria Math" w:hAnsi="Cambria Math" w:eastAsia="仿宋_GB2312" w:cs="仿宋_GB2312"/>
                <w:sz w:val="32"/>
                <w:szCs w:val="32"/>
                <w:lang w:val="en-US" w:eastAsia="zh-CN"/>
              </w:rPr>
            </m:ctrlPr>
          </m:sSubPr>
          <m:e>
            <m:r>
              <m:rPr>
                <m:sty m:val="p"/>
              </m:rPr>
              <w:rPr>
                <w:rFonts w:hint="eastAsia" w:ascii="Cambria Math" w:hAnsi="Cambria Math" w:eastAsia="仿宋_GB2312" w:cs="仿宋_GB2312"/>
                <w:sz w:val="32"/>
                <w:szCs w:val="32"/>
                <w:lang w:val="en-US" w:eastAsia="zh-CN"/>
              </w:rPr>
              <m:t>tCO</m:t>
            </m:r>
            <m:ctrlPr>
              <w:rPr>
                <w:rFonts w:hint="eastAsia" w:ascii="Cambria Math" w:hAnsi="Cambria Math" w:eastAsia="仿宋_GB2312" w:cs="仿宋_GB2312"/>
                <w:sz w:val="32"/>
                <w:szCs w:val="32"/>
                <w:lang w:val="en-US" w:eastAsia="zh-CN"/>
              </w:rPr>
            </m:ctrlPr>
          </m:e>
          <m:sub>
            <m:r>
              <m:rPr>
                <m:sty m:val="p"/>
              </m:rPr>
              <w:rPr>
                <w:rFonts w:hint="eastAsia" w:ascii="Cambria Math" w:hAnsi="Cambria Math" w:eastAsia="仿宋_GB2312" w:cs="仿宋_GB2312"/>
                <w:sz w:val="32"/>
                <w:szCs w:val="32"/>
                <w:lang w:val="en-US" w:eastAsia="zh-CN"/>
              </w:rPr>
              <m:t>2</m:t>
            </m:r>
            <m:ctrlPr>
              <w:rPr>
                <w:rFonts w:hint="eastAsia" w:ascii="Cambria Math" w:hAnsi="Cambria Math" w:eastAsia="仿宋_GB2312" w:cs="仿宋_GB2312"/>
                <w:sz w:val="32"/>
                <w:szCs w:val="32"/>
                <w:lang w:val="en-US" w:eastAsia="zh-CN"/>
              </w:rPr>
            </m:ctrlPr>
          </m:sub>
        </m:sSub>
        <m:r>
          <m:rPr>
            <m:sty m:val="p"/>
          </m:rPr>
          <w:rPr>
            <w:rFonts w:hint="eastAsia" w:ascii="Cambria Math" w:hAnsi="Cambria Math" w:eastAsia="仿宋_GB2312" w:cs="仿宋_GB2312"/>
            <w:sz w:val="32"/>
            <w:szCs w:val="32"/>
            <w:lang w:val="en-US" w:eastAsia="zh-CN"/>
          </w:rPr>
          <m:t>e</m:t>
        </m:r>
      </m:oMath>
      <w:r>
        <w:rPr>
          <w:rFonts w:hint="eastAsia" w:ascii="仿宋_GB2312" w:hAnsi="仿宋_GB2312" w:eastAsia="仿宋_GB2312" w:cs="仿宋_GB2312"/>
          <w:sz w:val="32"/>
          <w:szCs w:val="32"/>
          <w:lang w:val="en-US" w:eastAsia="zh-CN"/>
        </w:rPr>
        <w:t>；</w:t>
      </w:r>
    </w:p>
    <w:p w14:paraId="22A7856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m:oMath>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V</m:t>
            </m:r>
            <m:ctrlPr>
              <w:rPr>
                <w:rFonts w:hint="eastAsia" w:ascii="Cambria Math" w:hAnsi="Cambria Math" w:eastAsia="仿宋_GB2312" w:cs="仿宋_GB2312"/>
                <w:sz w:val="32"/>
                <w:szCs w:val="32"/>
                <w:lang w:val="en-US"/>
              </w:rPr>
            </m:ctrlPr>
          </m:e>
          <m:sub>
            <m:argPr>
              <m:argSz m:val="-1"/>
            </m:argPr>
            <m:r>
              <m:rPr>
                <m:sty m:val="p"/>
              </m:rPr>
              <w:rPr>
                <w:rFonts w:hint="eastAsia" w:ascii="Cambria Math" w:hAnsi="Cambria Math" w:eastAsia="仿宋_GB2312" w:cs="仿宋_GB2312"/>
                <w:sz w:val="32"/>
                <w:szCs w:val="32"/>
                <w:lang w:val="en-US" w:eastAsia="zh-CN"/>
              </w:rPr>
              <m:t>融资</m:t>
            </m:r>
            <m:ctrlPr>
              <w:rPr>
                <w:rFonts w:hint="eastAsia" w:ascii="Cambria Math" w:hAnsi="Cambria Math" w:eastAsia="仿宋_GB2312" w:cs="仿宋_GB2312"/>
                <w:sz w:val="32"/>
                <w:szCs w:val="32"/>
                <w:lang w:val="en-US"/>
              </w:rPr>
            </m:ctrlPr>
          </m:sub>
        </m:sSub>
      </m:oMath>
      <w:r>
        <w:rPr>
          <w:rFonts w:hint="eastAsia" w:ascii="仿宋_GB2312" w:hAnsi="仿宋_GB2312" w:eastAsia="仿宋_GB2312" w:cs="仿宋_GB2312"/>
          <w:sz w:val="32"/>
          <w:szCs w:val="32"/>
          <w:lang w:val="en-US" w:eastAsia="zh-CN"/>
        </w:rPr>
        <w:t>--报告期内，金融机构对融资主体的月均非项目融资额，单位为万元；</w:t>
      </w:r>
    </w:p>
    <w:p w14:paraId="2BE6AAB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m:oMath>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V</m:t>
            </m:r>
            <m:ctrlPr>
              <w:rPr>
                <w:rFonts w:hint="eastAsia" w:ascii="Cambria Math" w:hAnsi="Cambria Math" w:eastAsia="仿宋_GB2312" w:cs="仿宋_GB2312"/>
                <w:sz w:val="32"/>
                <w:szCs w:val="32"/>
                <w:lang w:val="en-US"/>
              </w:rPr>
            </m:ctrlPr>
          </m:e>
          <m:sub>
            <m:argPr>
              <m:argSz m:val="-1"/>
            </m:argPr>
            <m:r>
              <m:rPr>
                <m:sty m:val="p"/>
              </m:rPr>
              <w:rPr>
                <w:rFonts w:hint="eastAsia" w:ascii="Cambria Math" w:hAnsi="Cambria Math" w:eastAsia="仿宋_GB2312" w:cs="仿宋_GB2312"/>
                <w:sz w:val="32"/>
                <w:szCs w:val="32"/>
                <w:lang w:val="en-US" w:eastAsia="zh-CN"/>
              </w:rPr>
              <m:t>收入</m:t>
            </m:r>
            <m:ctrlPr>
              <w:rPr>
                <w:rFonts w:hint="eastAsia" w:ascii="Cambria Math" w:hAnsi="Cambria Math" w:eastAsia="仿宋_GB2312" w:cs="仿宋_GB2312"/>
                <w:sz w:val="32"/>
                <w:szCs w:val="32"/>
                <w:lang w:val="en-US"/>
              </w:rPr>
            </m:ctrlPr>
          </m:sub>
        </m:sSub>
      </m:oMath>
      <w:r>
        <w:rPr>
          <w:rFonts w:hint="eastAsia" w:ascii="仿宋_GB2312" w:hAnsi="仿宋_GB2312" w:eastAsia="仿宋_GB2312" w:cs="仿宋_GB2312"/>
          <w:sz w:val="32"/>
          <w:szCs w:val="32"/>
          <w:lang w:val="en-US" w:eastAsia="zh-CN"/>
        </w:rPr>
        <w:t>--报告期内，融资主体的主营业务收入，单位为万元。</w:t>
      </w:r>
    </w:p>
    <w:p w14:paraId="4899EB5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当</w:t>
      </w:r>
      <m:oMath>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V</m:t>
            </m:r>
            <m:ctrlPr>
              <w:rPr>
                <w:rFonts w:hint="eastAsia" w:ascii="Cambria Math" w:hAnsi="Cambria Math" w:eastAsia="仿宋_GB2312" w:cs="仿宋_GB2312"/>
                <w:sz w:val="32"/>
                <w:szCs w:val="32"/>
                <w:lang w:val="en-US"/>
              </w:rPr>
            </m:ctrlPr>
          </m:e>
          <m:sub>
            <m:r>
              <m:rPr>
                <m:sty m:val="p"/>
              </m:rPr>
              <w:rPr>
                <w:rFonts w:hint="eastAsia" w:ascii="Cambria Math" w:hAnsi="Cambria Math" w:eastAsia="仿宋_GB2312" w:cs="仿宋_GB2312"/>
                <w:sz w:val="32"/>
                <w:szCs w:val="32"/>
                <w:lang w:val="en-US" w:eastAsia="zh-CN"/>
              </w:rPr>
              <m:t>融资</m:t>
            </m:r>
            <m:ctrlPr>
              <w:rPr>
                <w:rFonts w:hint="eastAsia" w:ascii="Cambria Math" w:hAnsi="Cambria Math" w:eastAsia="仿宋_GB2312" w:cs="仿宋_GB2312"/>
                <w:sz w:val="32"/>
                <w:szCs w:val="32"/>
                <w:lang w:val="en-US"/>
              </w:rPr>
            </m:ctrlPr>
          </m:sub>
        </m:sSub>
        <m:r>
          <m:rPr>
            <m:sty m:val="p"/>
          </m:rPr>
          <w:rPr>
            <w:rFonts w:hint="eastAsia" w:ascii="Cambria Math" w:hAnsi="Cambria Math" w:eastAsia="仿宋_GB2312" w:cs="仿宋_GB2312"/>
            <w:sz w:val="32"/>
            <w:szCs w:val="32"/>
            <w:lang w:val="en-US"/>
          </w:rPr>
          <m:t>&gt;</m:t>
        </m:r>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V</m:t>
            </m:r>
            <m:ctrlPr>
              <w:rPr>
                <w:rFonts w:hint="eastAsia" w:ascii="Cambria Math" w:hAnsi="Cambria Math" w:eastAsia="仿宋_GB2312" w:cs="仿宋_GB2312"/>
                <w:sz w:val="32"/>
                <w:szCs w:val="32"/>
                <w:lang w:val="en-US"/>
              </w:rPr>
            </m:ctrlPr>
          </m:e>
          <m:sub>
            <m:r>
              <m:rPr>
                <m:sty m:val="p"/>
              </m:rPr>
              <w:rPr>
                <w:rFonts w:hint="eastAsia" w:ascii="Cambria Math" w:hAnsi="Cambria Math" w:eastAsia="仿宋_GB2312" w:cs="仿宋_GB2312"/>
                <w:sz w:val="32"/>
                <w:szCs w:val="32"/>
                <w:lang w:val="en-US" w:eastAsia="zh-CN"/>
              </w:rPr>
              <m:t>收入</m:t>
            </m:r>
            <m:ctrlPr>
              <w:rPr>
                <w:rFonts w:hint="eastAsia" w:ascii="Cambria Math" w:hAnsi="Cambria Math" w:eastAsia="仿宋_GB2312" w:cs="仿宋_GB2312"/>
                <w:sz w:val="32"/>
                <w:szCs w:val="32"/>
                <w:lang w:val="en-US"/>
              </w:rPr>
            </m:ctrlPr>
          </m:sub>
        </m:sSub>
      </m:oMath>
      <w:r>
        <w:rPr>
          <w:rFonts w:hint="eastAsia" w:ascii="仿宋_GB2312" w:hAnsi="仿宋_GB2312" w:eastAsia="仿宋_GB2312" w:cs="仿宋_GB2312"/>
          <w:sz w:val="32"/>
          <w:szCs w:val="32"/>
          <w:lang w:val="en-US" w:eastAsia="zh-CN"/>
        </w:rPr>
        <w:t>时，</w:t>
      </w:r>
      <m:oMath>
        <m:d>
          <m:dPr>
            <m:ctrlPr>
              <w:rPr>
                <w:rFonts w:hint="eastAsia" w:ascii="Cambria Math" w:hAnsi="Cambria Math" w:eastAsia="仿宋_GB2312" w:cs="仿宋_GB2312"/>
                <w:sz w:val="32"/>
                <w:szCs w:val="32"/>
                <w:lang w:val="en-US"/>
              </w:rPr>
            </m:ctrlPr>
          </m:dPr>
          <m:e>
            <m:f>
              <m:fPr>
                <m:ctrlPr>
                  <w:rPr>
                    <w:rFonts w:hint="eastAsia" w:ascii="Cambria Math" w:hAnsi="Cambria Math" w:eastAsia="仿宋_GB2312" w:cs="仿宋_GB2312"/>
                    <w:sz w:val="32"/>
                    <w:szCs w:val="32"/>
                    <w:lang w:val="en-US"/>
                  </w:rPr>
                </m:ctrlPr>
              </m:fPr>
              <m:num>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V</m:t>
                    </m:r>
                    <m:ctrlPr>
                      <w:rPr>
                        <w:rFonts w:hint="eastAsia" w:ascii="Cambria Math" w:hAnsi="Cambria Math" w:eastAsia="仿宋_GB2312" w:cs="仿宋_GB2312"/>
                        <w:sz w:val="32"/>
                        <w:szCs w:val="32"/>
                        <w:lang w:val="en-US"/>
                      </w:rPr>
                    </m:ctrlPr>
                  </m:e>
                  <m:sub>
                    <m:r>
                      <m:rPr>
                        <m:sty m:val="p"/>
                      </m:rPr>
                      <w:rPr>
                        <w:rFonts w:hint="eastAsia" w:ascii="Cambria Math" w:hAnsi="Cambria Math" w:eastAsia="仿宋_GB2312" w:cs="仿宋_GB2312"/>
                        <w:sz w:val="32"/>
                        <w:szCs w:val="32"/>
                        <w:lang w:val="en-US" w:eastAsia="zh-CN"/>
                      </w:rPr>
                      <m:t>融资</m:t>
                    </m:r>
                    <m:ctrlPr>
                      <w:rPr>
                        <w:rFonts w:hint="eastAsia" w:ascii="Cambria Math" w:hAnsi="Cambria Math" w:eastAsia="仿宋_GB2312" w:cs="仿宋_GB2312"/>
                        <w:sz w:val="32"/>
                        <w:szCs w:val="32"/>
                        <w:lang w:val="en-US"/>
                      </w:rPr>
                    </m:ctrlPr>
                  </m:sub>
                </m:sSub>
                <m:ctrlPr>
                  <w:rPr>
                    <w:rFonts w:hint="eastAsia" w:ascii="Cambria Math" w:hAnsi="Cambria Math" w:eastAsia="仿宋_GB2312" w:cs="仿宋_GB2312"/>
                    <w:sz w:val="32"/>
                    <w:szCs w:val="32"/>
                    <w:lang w:val="en-US"/>
                  </w:rPr>
                </m:ctrlPr>
              </m:num>
              <m:den>
                <m:sSub>
                  <m:sSubPr>
                    <m:ctrlPr>
                      <w:rPr>
                        <w:rFonts w:hint="eastAsia" w:ascii="Cambria Math" w:hAnsi="Cambria Math" w:eastAsia="仿宋_GB2312" w:cs="仿宋_GB2312"/>
                        <w:sz w:val="32"/>
                        <w:szCs w:val="32"/>
                        <w:lang w:val="en-US"/>
                      </w:rPr>
                    </m:ctrlPr>
                  </m:sSubPr>
                  <m:e>
                    <m:r>
                      <m:rPr>
                        <m:sty m:val="p"/>
                      </m:rPr>
                      <w:rPr>
                        <w:rFonts w:hint="eastAsia" w:ascii="Cambria Math" w:hAnsi="Cambria Math" w:eastAsia="仿宋_GB2312" w:cs="仿宋_GB2312"/>
                        <w:sz w:val="32"/>
                        <w:szCs w:val="32"/>
                        <w:lang w:val="en-US" w:eastAsia="zh-CN"/>
                      </w:rPr>
                      <m:t>V</m:t>
                    </m:r>
                    <m:ctrlPr>
                      <w:rPr>
                        <w:rFonts w:hint="eastAsia" w:ascii="Cambria Math" w:hAnsi="Cambria Math" w:eastAsia="仿宋_GB2312" w:cs="仿宋_GB2312"/>
                        <w:sz w:val="32"/>
                        <w:szCs w:val="32"/>
                        <w:lang w:val="en-US"/>
                      </w:rPr>
                    </m:ctrlPr>
                  </m:e>
                  <m:sub>
                    <m:r>
                      <m:rPr>
                        <m:sty m:val="p"/>
                      </m:rPr>
                      <w:rPr>
                        <w:rFonts w:hint="eastAsia" w:ascii="Cambria Math" w:hAnsi="Cambria Math" w:eastAsia="仿宋_GB2312" w:cs="仿宋_GB2312"/>
                        <w:sz w:val="32"/>
                        <w:szCs w:val="32"/>
                        <w:lang w:val="en-US" w:eastAsia="zh-CN"/>
                      </w:rPr>
                      <m:t>收入</m:t>
                    </m:r>
                    <m:ctrlPr>
                      <w:rPr>
                        <w:rFonts w:hint="eastAsia" w:ascii="Cambria Math" w:hAnsi="Cambria Math" w:eastAsia="仿宋_GB2312" w:cs="仿宋_GB2312"/>
                        <w:sz w:val="32"/>
                        <w:szCs w:val="32"/>
                        <w:lang w:val="en-US"/>
                      </w:rPr>
                    </m:ctrlPr>
                  </m:sub>
                </m:sSub>
                <m:ctrlPr>
                  <w:rPr>
                    <w:rFonts w:hint="eastAsia" w:ascii="Cambria Math" w:hAnsi="Cambria Math" w:eastAsia="仿宋_GB2312" w:cs="仿宋_GB2312"/>
                    <w:sz w:val="32"/>
                    <w:szCs w:val="32"/>
                    <w:lang w:val="en-US"/>
                  </w:rPr>
                </m:ctrlPr>
              </m:den>
            </m:f>
            <m:ctrlPr>
              <w:rPr>
                <w:rFonts w:hint="eastAsia" w:ascii="Cambria Math" w:hAnsi="Cambria Math" w:eastAsia="仿宋_GB2312" w:cs="仿宋_GB2312"/>
                <w:sz w:val="32"/>
                <w:szCs w:val="32"/>
                <w:lang w:val="en-US"/>
              </w:rPr>
            </m:ctrlPr>
          </m:e>
        </m:d>
        <m:r>
          <m:rPr>
            <m:sty m:val="p"/>
          </m:rPr>
          <w:rPr>
            <w:rFonts w:hint="eastAsia" w:ascii="Cambria Math" w:hAnsi="Cambria Math" w:eastAsia="仿宋_GB2312" w:cs="仿宋_GB2312"/>
            <w:sz w:val="32"/>
            <w:szCs w:val="32"/>
            <w:lang w:val="en-US" w:eastAsia="zh-CN"/>
          </w:rPr>
          <m:t>=1</m:t>
        </m:r>
      </m:oMath>
      <w:r>
        <w:rPr>
          <w:rFonts w:hint="eastAsia" w:ascii="仿宋_GB2312" w:hAnsi="仿宋_GB2312" w:eastAsia="仿宋_GB2312" w:cs="仿宋_GB2312"/>
          <w:sz w:val="32"/>
          <w:szCs w:val="32"/>
          <w:lang w:val="en-US" w:eastAsia="zh-CN"/>
        </w:rPr>
        <w:t>。</w:t>
      </w:r>
    </w:p>
    <w:p w14:paraId="6903D46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金融机构非项目融资业务的碳减排量等于全部非项目融资业务对应的碳减排量之和。</w:t>
      </w:r>
    </w:p>
    <w:p w14:paraId="55953E0D">
      <w:pPr>
        <w:pStyle w:val="2"/>
        <w:rPr>
          <w:rFonts w:hint="eastAsia"/>
          <w:lang w:val="en-US" w:eastAsia="zh-CN"/>
        </w:rPr>
      </w:pPr>
    </w:p>
    <w:p w14:paraId="7B2132D8">
      <w:pPr>
        <w:pStyle w:val="3"/>
        <w:pageBreakBefore w:val="0"/>
        <w:numPr>
          <w:ilvl w:val="0"/>
          <w:numId w:val="0"/>
        </w:numPr>
        <w:kinsoku/>
        <w:wordWrap/>
        <w:overflowPunct/>
        <w:topLinePunct w:val="0"/>
        <w:autoSpaceDE/>
        <w:autoSpaceDN/>
        <w:bidi w:val="0"/>
        <w:adjustRightInd/>
        <w:snapToGrid/>
        <w:spacing w:before="157" w:beforeLines="50" w:after="157" w:afterLines="50" w:line="520" w:lineRule="exact"/>
        <w:jc w:val="center"/>
        <w:textAlignment w:val="auto"/>
        <w:rPr>
          <w:rFonts w:hint="default"/>
          <w:lang w:val="en-US" w:eastAsia="zh-CN"/>
        </w:rPr>
      </w:pPr>
      <w:bookmarkStart w:id="32" w:name="_Toc11202"/>
      <w:bookmarkStart w:id="33" w:name="_Toc18995"/>
      <w:r>
        <w:rPr>
          <w:rFonts w:hint="eastAsia" w:ascii="黑体" w:hAnsi="黑体" w:eastAsia="黑体" w:cs="黑体"/>
          <w:b w:val="0"/>
          <w:color w:val="000000" w:themeColor="text1"/>
          <w:kern w:val="2"/>
          <w:sz w:val="32"/>
          <w:szCs w:val="22"/>
          <w:highlight w:val="none"/>
          <w:lang w:val="en-US" w:eastAsia="zh-CN" w:bidi="ar-SA"/>
          <w14:textFill>
            <w14:solidFill>
              <w14:schemeClr w14:val="tx1"/>
            </w14:solidFill>
          </w14:textFill>
        </w:rPr>
        <w:t>第八部分 本行</w:t>
      </w:r>
      <w:r>
        <w:rPr>
          <w:rFonts w:hint="default" w:ascii="黑体" w:hAnsi="黑体" w:eastAsia="黑体" w:cs="黑体"/>
          <w:b w:val="0"/>
          <w:color w:val="000000" w:themeColor="text1"/>
          <w:kern w:val="2"/>
          <w:sz w:val="32"/>
          <w:szCs w:val="22"/>
          <w:highlight w:val="none"/>
          <w:lang w:val="en-US" w:eastAsia="zh-CN" w:bidi="ar-SA"/>
          <w14:textFill>
            <w14:solidFill>
              <w14:schemeClr w14:val="tx1"/>
            </w14:solidFill>
          </w14:textFill>
        </w:rPr>
        <w:t>经营活动的环境影响</w:t>
      </w:r>
      <w:bookmarkEnd w:id="32"/>
      <w:bookmarkEnd w:id="33"/>
    </w:p>
    <w:p w14:paraId="62B2B534">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20" w:lineRule="exact"/>
        <w:ind w:firstLine="640" w:firstLineChars="200"/>
        <w:jc w:val="both"/>
        <w:textAlignment w:val="auto"/>
        <w:rPr>
          <w:rFonts w:hint="eastAsia" w:ascii="黑体" w:hAnsi="黑体" w:eastAsia="黑体" w:cs="黑体"/>
          <w:b w:val="0"/>
          <w:bCs w:val="0"/>
          <w:i w:val="0"/>
          <w:iCs w:val="0"/>
          <w:color w:val="000000" w:themeColor="text1"/>
          <w:kern w:val="2"/>
          <w:sz w:val="24"/>
          <w:szCs w:val="24"/>
          <w:lang w:val="en-US" w:eastAsia="zh-CN" w:bidi="ar-SA"/>
          <w14:textFill>
            <w14:solidFill>
              <w14:schemeClr w14:val="tx1"/>
            </w14:solidFill>
          </w14:textFill>
        </w:rPr>
      </w:pPr>
      <w:r>
        <w:rPr>
          <w:rFonts w:hint="eastAsia" w:ascii="黑体" w:hAnsi="黑体" w:eastAsia="黑体" w:cs="黑体"/>
          <w:b w:val="0"/>
          <w:bCs w:val="0"/>
          <w:color w:val="000000" w:themeColor="text1"/>
          <w:highlight w:val="none"/>
          <w:lang w:val="en-US" w:eastAsia="zh-CN"/>
          <w14:textFill>
            <w14:solidFill>
              <w14:schemeClr w14:val="tx1"/>
            </w14:solidFill>
          </w14:textFill>
        </w:rPr>
        <w:t>一、本行经营活动产生的温室气体排放和自然资源消耗</w:t>
      </w:r>
    </w:p>
    <w:p w14:paraId="48C42E6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（一）基本信息</w:t>
      </w:r>
    </w:p>
    <w:tbl>
      <w:tblPr>
        <w:tblStyle w:val="18"/>
        <w:tblW w:w="8280"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1"/>
        <w:gridCol w:w="2883"/>
        <w:gridCol w:w="2746"/>
      </w:tblGrid>
      <w:tr w14:paraId="502A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2651" w:type="dxa"/>
            <w:vAlign w:val="center"/>
          </w:tcPr>
          <w:p w14:paraId="32DE4FCA">
            <w:pPr>
              <w:pStyle w:val="6"/>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核算年度</w:t>
            </w:r>
          </w:p>
        </w:tc>
        <w:tc>
          <w:tcPr>
            <w:tcW w:w="2883" w:type="dxa"/>
            <w:vAlign w:val="center"/>
          </w:tcPr>
          <w:p w14:paraId="6F3B7592">
            <w:pPr>
              <w:pStyle w:val="6"/>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2025</w:t>
            </w:r>
          </w:p>
        </w:tc>
        <w:tc>
          <w:tcPr>
            <w:tcW w:w="2746" w:type="dxa"/>
            <w:vAlign w:val="center"/>
          </w:tcPr>
          <w:p w14:paraId="1DD1EDF6">
            <w:pPr>
              <w:pStyle w:val="6"/>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年</w:t>
            </w:r>
          </w:p>
        </w:tc>
      </w:tr>
      <w:tr w14:paraId="7398B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51" w:type="dxa"/>
            <w:vAlign w:val="center"/>
          </w:tcPr>
          <w:p w14:paraId="463B95CF">
            <w:pPr>
              <w:pStyle w:val="6"/>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员工人数</w:t>
            </w:r>
          </w:p>
        </w:tc>
        <w:tc>
          <w:tcPr>
            <w:tcW w:w="2883" w:type="dxa"/>
            <w:vAlign w:val="center"/>
          </w:tcPr>
          <w:p w14:paraId="546C048E">
            <w:pPr>
              <w:pStyle w:val="6"/>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804</w:t>
            </w:r>
          </w:p>
        </w:tc>
        <w:tc>
          <w:tcPr>
            <w:tcW w:w="2746" w:type="dxa"/>
            <w:vAlign w:val="center"/>
          </w:tcPr>
          <w:p w14:paraId="78AF9086">
            <w:pPr>
              <w:pStyle w:val="6"/>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人</w:t>
            </w:r>
          </w:p>
        </w:tc>
      </w:tr>
      <w:tr w14:paraId="05D03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651" w:type="dxa"/>
            <w:vAlign w:val="center"/>
          </w:tcPr>
          <w:p w14:paraId="05402BA3">
            <w:pPr>
              <w:pStyle w:val="6"/>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建筑面积</w:t>
            </w:r>
          </w:p>
        </w:tc>
        <w:tc>
          <w:tcPr>
            <w:tcW w:w="2883" w:type="dxa"/>
            <w:vAlign w:val="center"/>
          </w:tcPr>
          <w:p w14:paraId="422F8C2E">
            <w:pPr>
              <w:pStyle w:val="6"/>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60000</w:t>
            </w:r>
          </w:p>
        </w:tc>
        <w:tc>
          <w:tcPr>
            <w:tcW w:w="2746" w:type="dxa"/>
            <w:vAlign w:val="center"/>
          </w:tcPr>
          <w:p w14:paraId="6E249519">
            <w:pPr>
              <w:pStyle w:val="6"/>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平方米</w:t>
            </w:r>
          </w:p>
        </w:tc>
      </w:tr>
    </w:tbl>
    <w:p w14:paraId="550A64A0">
      <w:pPr>
        <w:pStyle w:val="6"/>
        <w:keepNext w:val="0"/>
        <w:keepLines w:val="0"/>
        <w:pageBreakBefore w:val="0"/>
        <w:widowControl w:val="0"/>
        <w:kinsoku/>
        <w:wordWrap/>
        <w:overflowPunct/>
        <w:topLinePunct w:val="0"/>
        <w:autoSpaceDE/>
        <w:autoSpaceDN/>
        <w:bidi w:val="0"/>
        <w:adjustRightInd/>
        <w:snapToGrid/>
        <w:spacing w:after="0"/>
        <w:textAlignment w:val="auto"/>
        <w:rPr>
          <w:rFonts w:hint="default"/>
          <w:lang w:val="en-US" w:eastAsia="zh-CN"/>
        </w:rPr>
      </w:pPr>
      <w:r>
        <w:rPr>
          <w:rFonts w:hint="eastAsia" w:ascii="仿宋_GB2312" w:hAnsi="仿宋_GB2312" w:eastAsia="仿宋_GB2312" w:cs="仿宋_GB2312"/>
          <w:color w:val="000000" w:themeColor="text1"/>
          <w:kern w:val="2"/>
          <w:sz w:val="32"/>
          <w:szCs w:val="22"/>
          <w:highlight w:val="none"/>
          <w:lang w:val="en-US" w:eastAsia="zh-CN" w:bidi="ar-SA"/>
          <w14:textFill>
            <w14:solidFill>
              <w14:schemeClr w14:val="tx1"/>
            </w14:solidFill>
          </w14:textFill>
        </w:rPr>
        <w:t>（二）范围1—金融机构运营碳直接排放</w:t>
      </w:r>
    </w:p>
    <w:tbl>
      <w:tblPr>
        <w:tblStyle w:val="17"/>
        <w:tblW w:w="8289" w:type="dxa"/>
        <w:tblInd w:w="96" w:type="dxa"/>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15"/>
        <w:gridCol w:w="1771"/>
        <w:gridCol w:w="1668"/>
        <w:gridCol w:w="2235"/>
      </w:tblGrid>
      <w:tr w14:paraId="17414F6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 w:hRule="atLeast"/>
        </w:trPr>
        <w:tc>
          <w:tcPr>
            <w:tcW w:w="2615" w:type="dxa"/>
            <w:tcBorders>
              <w:left w:val="single" w:color="000000" w:sz="4" w:space="0"/>
              <w:bottom w:val="single" w:color="000000" w:sz="4" w:space="0"/>
              <w:right w:val="single" w:color="000000" w:sz="4" w:space="0"/>
            </w:tcBorders>
            <w:shd w:val="clear" w:color="auto" w:fill="auto"/>
            <w:noWrap/>
            <w:vAlign w:val="center"/>
          </w:tcPr>
          <w:p w14:paraId="5457050E">
            <w:pPr>
              <w:pStyle w:val="22"/>
              <w:keepNext w:val="0"/>
              <w:keepLines w:val="0"/>
              <w:pageBreakBefore w:val="0"/>
              <w:kinsoku/>
              <w:wordWrap/>
              <w:overflowPunct/>
              <w:topLinePunct w:val="0"/>
              <w:autoSpaceDE/>
              <w:autoSpaceDN/>
              <w:bidi w:val="0"/>
              <w:adjustRightInd w:val="0"/>
              <w:snapToGrid w:val="0"/>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化石燃料种类</w:t>
            </w:r>
          </w:p>
        </w:tc>
        <w:tc>
          <w:tcPr>
            <w:tcW w:w="3439" w:type="dxa"/>
            <w:gridSpan w:val="2"/>
            <w:tcBorders>
              <w:left w:val="single" w:color="000000" w:sz="4" w:space="0"/>
              <w:bottom w:val="single" w:color="000000" w:sz="4" w:space="0"/>
              <w:right w:val="single" w:color="000000" w:sz="4" w:space="0"/>
            </w:tcBorders>
            <w:shd w:val="clear" w:color="auto" w:fill="auto"/>
            <w:noWrap/>
            <w:vAlign w:val="center"/>
          </w:tcPr>
          <w:p w14:paraId="6D4451E0">
            <w:pPr>
              <w:pStyle w:val="22"/>
              <w:keepNext w:val="0"/>
              <w:keepLines w:val="0"/>
              <w:pageBreakBefore w:val="0"/>
              <w:kinsoku/>
              <w:wordWrap/>
              <w:overflowPunct/>
              <w:topLinePunct w:val="0"/>
              <w:autoSpaceDE/>
              <w:autoSpaceDN/>
              <w:bidi w:val="0"/>
              <w:adjustRightInd w:val="0"/>
              <w:snapToGrid w:val="0"/>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活动水平数据</w:t>
            </w:r>
          </w:p>
        </w:tc>
        <w:tc>
          <w:tcPr>
            <w:tcW w:w="2235" w:type="dxa"/>
            <w:tcBorders>
              <w:left w:val="single" w:color="000000" w:sz="4" w:space="0"/>
              <w:bottom w:val="single" w:color="000000" w:sz="4" w:space="0"/>
              <w:right w:val="single" w:color="000000" w:sz="4" w:space="0"/>
            </w:tcBorders>
            <w:shd w:val="clear" w:color="auto" w:fill="auto"/>
            <w:noWrap/>
            <w:vAlign w:val="center"/>
          </w:tcPr>
          <w:p w14:paraId="5B2DC0FD">
            <w:pPr>
              <w:pStyle w:val="22"/>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二氧化碳排放量（吨二氧化碳）</w:t>
            </w:r>
          </w:p>
        </w:tc>
      </w:tr>
      <w:tr w14:paraId="6BDA9F9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7D16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汽油</w:t>
            </w: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B5F0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26</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019F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吨</w:t>
            </w: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CA55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79.11</w:t>
            </w:r>
          </w:p>
        </w:tc>
      </w:tr>
      <w:tr w14:paraId="0D19E89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6965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柴油</w:t>
            </w: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9971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0417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吨</w:t>
            </w: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7A9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0.00</w:t>
            </w:r>
          </w:p>
        </w:tc>
      </w:tr>
      <w:tr w14:paraId="7FE7E3F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CA9A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液化天然气</w:t>
            </w: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27F6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67EA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吨</w:t>
            </w: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A4A4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0</w:t>
            </w:r>
          </w:p>
        </w:tc>
      </w:tr>
      <w:tr w14:paraId="5847773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BB35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天然气</w:t>
            </w: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B6FB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0.1</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9182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万立方米</w:t>
            </w: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F4AD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2.16</w:t>
            </w:r>
          </w:p>
        </w:tc>
      </w:tr>
      <w:tr w14:paraId="11B7A9D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19D0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液化石油气</w:t>
            </w: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5D38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DF3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万立方米</w:t>
            </w: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43B4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0.00</w:t>
            </w:r>
          </w:p>
        </w:tc>
      </w:tr>
    </w:tbl>
    <w:p w14:paraId="4EDC3511">
      <w:pPr>
        <w:pStyle w:val="6"/>
        <w:keepNext w:val="0"/>
        <w:keepLines w:val="0"/>
        <w:pageBreakBefore w:val="0"/>
        <w:widowControl w:val="0"/>
        <w:kinsoku/>
        <w:wordWrap/>
        <w:overflowPunct/>
        <w:topLinePunct w:val="0"/>
        <w:autoSpaceDE/>
        <w:autoSpaceDN/>
        <w:bidi w:val="0"/>
        <w:adjustRightInd/>
        <w:snapToGrid/>
        <w:spacing w:after="0"/>
        <w:textAlignment w:val="auto"/>
        <w:rPr>
          <w:rFonts w:hint="default"/>
          <w:lang w:val="en-US" w:eastAsia="zh-CN"/>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（三）范围2—</w:t>
      </w:r>
      <w:r>
        <w:rPr>
          <w:rFonts w:hint="eastAsia" w:ascii="仿宋_GB2312" w:hAnsi="仿宋_GB2312" w:eastAsia="仿宋_GB2312" w:cs="仿宋_GB2312"/>
          <w:color w:val="000000" w:themeColor="text1"/>
          <w:kern w:val="2"/>
          <w:sz w:val="32"/>
          <w:szCs w:val="22"/>
          <w:highlight w:val="none"/>
          <w:lang w:val="en-US" w:eastAsia="zh-CN" w:bidi="ar-SA"/>
          <w14:textFill>
            <w14:solidFill>
              <w14:schemeClr w14:val="tx1"/>
            </w14:solidFill>
          </w14:textFill>
        </w:rPr>
        <w:t>金融机构运营碳间接排放</w:t>
      </w:r>
    </w:p>
    <w:tbl>
      <w:tblPr>
        <w:tblStyle w:val="18"/>
        <w:tblW w:w="8397" w:type="dxa"/>
        <w:tblInd w:w="1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0"/>
        <w:gridCol w:w="2385"/>
        <w:gridCol w:w="1779"/>
        <w:gridCol w:w="2243"/>
      </w:tblGrid>
      <w:tr w14:paraId="1E4CD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990" w:type="dxa"/>
            <w:vAlign w:val="center"/>
          </w:tcPr>
          <w:p w14:paraId="0C6C3786">
            <w:pPr>
              <w:pStyle w:val="6"/>
              <w:spacing w:line="240" w:lineRule="auto"/>
              <w:ind w:firstLine="0" w:firstLineChars="0"/>
              <w:jc w:val="center"/>
              <w:rPr>
                <w:rFonts w:hint="default" w:ascii="黑体" w:hAnsi="黑体" w:eastAsia="黑体" w:cs="黑体"/>
                <w:sz w:val="24"/>
                <w:szCs w:val="24"/>
                <w:vertAlign w:val="baseline"/>
                <w:lang w:val="en-US" w:eastAsia="zh-CN"/>
              </w:rPr>
            </w:pPr>
            <w:r>
              <w:rPr>
                <w:rFonts w:hint="eastAsia" w:ascii="黑体" w:hAnsi="黑体" w:eastAsia="黑体" w:cs="黑体"/>
                <w:b w:val="0"/>
                <w:bCs w:val="0"/>
                <w:sz w:val="24"/>
                <w:szCs w:val="24"/>
                <w:lang w:val="en-US" w:eastAsia="zh-CN"/>
              </w:rPr>
              <w:t>排放源</w:t>
            </w:r>
          </w:p>
        </w:tc>
        <w:tc>
          <w:tcPr>
            <w:tcW w:w="2385" w:type="dxa"/>
            <w:vAlign w:val="center"/>
          </w:tcPr>
          <w:p w14:paraId="5A5FAD58">
            <w:pPr>
              <w:pStyle w:val="6"/>
              <w:spacing w:line="240" w:lineRule="auto"/>
              <w:ind w:left="0" w:leftChars="0" w:firstLine="0" w:firstLineChars="0"/>
              <w:jc w:val="center"/>
              <w:rPr>
                <w:rFonts w:hint="default" w:ascii="仿宋_GB2312" w:hAnsi="仿宋_GB2312" w:eastAsia="仿宋_GB2312" w:cs="仿宋_GB2312"/>
                <w:b w:val="0"/>
                <w:bCs w:val="0"/>
                <w:sz w:val="24"/>
                <w:szCs w:val="24"/>
                <w:vertAlign w:val="baseline"/>
                <w:lang w:val="en-US" w:eastAsia="zh-CN"/>
              </w:rPr>
            </w:pPr>
            <w:r>
              <w:rPr>
                <w:rFonts w:hint="eastAsia" w:ascii="黑体" w:hAnsi="黑体" w:eastAsia="黑体" w:cs="黑体"/>
                <w:b w:val="0"/>
                <w:bCs w:val="0"/>
                <w:kern w:val="2"/>
                <w:sz w:val="24"/>
                <w:szCs w:val="24"/>
                <w:lang w:val="en-US" w:eastAsia="zh-CN" w:bidi="ar-SA"/>
              </w:rPr>
              <w:t>活动水平数据</w:t>
            </w:r>
          </w:p>
        </w:tc>
        <w:tc>
          <w:tcPr>
            <w:tcW w:w="1779" w:type="dxa"/>
            <w:vAlign w:val="center"/>
          </w:tcPr>
          <w:p w14:paraId="2D75F8E6">
            <w:pPr>
              <w:pStyle w:val="6"/>
              <w:spacing w:line="240" w:lineRule="auto"/>
              <w:ind w:left="0" w:leftChars="0" w:firstLine="0" w:firstLineChars="0"/>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单位</w:t>
            </w:r>
          </w:p>
        </w:tc>
        <w:tc>
          <w:tcPr>
            <w:tcW w:w="2243" w:type="dxa"/>
          </w:tcPr>
          <w:p w14:paraId="54EE9FB7">
            <w:pPr>
              <w:pStyle w:val="6"/>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黑体" w:hAnsi="黑体" w:eastAsia="黑体" w:cs="黑体"/>
                <w:b w:val="0"/>
                <w:bCs w:val="0"/>
                <w:sz w:val="24"/>
                <w:szCs w:val="24"/>
                <w:lang w:val="en-US" w:eastAsia="zh-CN"/>
              </w:rPr>
              <w:t>二氧化碳排放量（吨二氧化碳）</w:t>
            </w:r>
          </w:p>
        </w:tc>
      </w:tr>
      <w:tr w14:paraId="3A41B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0" w:type="dxa"/>
          </w:tcPr>
          <w:p w14:paraId="2F8CC776">
            <w:pPr>
              <w:pStyle w:val="6"/>
              <w:spacing w:line="240" w:lineRule="auto"/>
              <w:ind w:firstLine="0" w:firstLineChars="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净购入电力</w:t>
            </w:r>
          </w:p>
        </w:tc>
        <w:tc>
          <w:tcPr>
            <w:tcW w:w="2385" w:type="dxa"/>
          </w:tcPr>
          <w:p w14:paraId="25F915E2">
            <w:pPr>
              <w:pStyle w:val="6"/>
              <w:spacing w:line="240" w:lineRule="auto"/>
              <w:ind w:firstLine="0" w:firstLineChars="0"/>
              <w:jc w:val="center"/>
              <w:rPr>
                <w:rFonts w:hint="default"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6100</w:t>
            </w:r>
          </w:p>
        </w:tc>
        <w:tc>
          <w:tcPr>
            <w:tcW w:w="1779" w:type="dxa"/>
          </w:tcPr>
          <w:p w14:paraId="31ED85F0">
            <w:pPr>
              <w:pStyle w:val="6"/>
              <w:spacing w:line="240" w:lineRule="auto"/>
              <w:ind w:firstLine="0" w:firstLineChars="0"/>
              <w:jc w:val="center"/>
              <w:rPr>
                <w:rFonts w:hint="default"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兆瓦时</w:t>
            </w:r>
          </w:p>
        </w:tc>
        <w:tc>
          <w:tcPr>
            <w:tcW w:w="2243" w:type="dxa"/>
          </w:tcPr>
          <w:p w14:paraId="03590CEA">
            <w:pPr>
              <w:pStyle w:val="6"/>
              <w:spacing w:line="240" w:lineRule="auto"/>
              <w:ind w:firstLine="0" w:firstLineChars="0"/>
              <w:jc w:val="center"/>
              <w:rPr>
                <w:rFonts w:hint="default"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3236.66</w:t>
            </w:r>
          </w:p>
        </w:tc>
      </w:tr>
      <w:tr w14:paraId="6CC2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0" w:type="dxa"/>
          </w:tcPr>
          <w:p w14:paraId="23D23455">
            <w:pPr>
              <w:pStyle w:val="6"/>
              <w:spacing w:line="240" w:lineRule="auto"/>
              <w:ind w:firstLine="0" w:firstLineChars="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净购入热力</w:t>
            </w:r>
          </w:p>
        </w:tc>
        <w:tc>
          <w:tcPr>
            <w:tcW w:w="2385" w:type="dxa"/>
          </w:tcPr>
          <w:p w14:paraId="6964FD19">
            <w:pPr>
              <w:pStyle w:val="6"/>
              <w:spacing w:line="240" w:lineRule="auto"/>
              <w:ind w:firstLine="0" w:firstLineChars="0"/>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0</w:t>
            </w:r>
          </w:p>
        </w:tc>
        <w:tc>
          <w:tcPr>
            <w:tcW w:w="1779" w:type="dxa"/>
          </w:tcPr>
          <w:p w14:paraId="7C557202">
            <w:pPr>
              <w:pStyle w:val="6"/>
              <w:spacing w:line="240" w:lineRule="auto"/>
              <w:ind w:firstLine="0" w:firstLineChars="0"/>
              <w:jc w:val="center"/>
              <w:rPr>
                <w:rFonts w:hint="default"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吉焦</w:t>
            </w:r>
          </w:p>
        </w:tc>
        <w:tc>
          <w:tcPr>
            <w:tcW w:w="2243" w:type="dxa"/>
          </w:tcPr>
          <w:p w14:paraId="02C48E8E">
            <w:pPr>
              <w:pStyle w:val="6"/>
              <w:spacing w:line="240" w:lineRule="auto"/>
              <w:ind w:firstLine="0" w:firstLineChars="0"/>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0</w:t>
            </w:r>
          </w:p>
        </w:tc>
      </w:tr>
    </w:tbl>
    <w:p w14:paraId="40FBBF4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（四）范围3—其他碳间接排放</w:t>
      </w:r>
    </w:p>
    <w:tbl>
      <w:tblPr>
        <w:tblStyle w:val="17"/>
        <w:tblW w:w="844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550"/>
        <w:gridCol w:w="1550"/>
        <w:gridCol w:w="1330"/>
        <w:gridCol w:w="1110"/>
        <w:gridCol w:w="2903"/>
      </w:tblGrid>
      <w:tr w14:paraId="144A7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96" w:hRule="atLeast"/>
        </w:trPr>
        <w:tc>
          <w:tcPr>
            <w:tcW w:w="3100"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E7AFB1E">
            <w:pPr>
              <w:keepNext w:val="0"/>
              <w:keepLines w:val="0"/>
              <w:widowControl/>
              <w:suppressLineNumbers w:val="0"/>
              <w:spacing w:line="240" w:lineRule="auto"/>
              <w:ind w:firstLine="0" w:firstLineChars="0"/>
              <w:jc w:val="center"/>
              <w:textAlignment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kern w:val="2"/>
                <w:sz w:val="24"/>
                <w:szCs w:val="24"/>
                <w:lang w:val="en-US" w:eastAsia="zh-CN" w:bidi="ar-SA"/>
              </w:rPr>
              <w:t>排放源</w:t>
            </w:r>
          </w:p>
        </w:tc>
        <w:tc>
          <w:tcPr>
            <w:tcW w:w="2440" w:type="dxa"/>
            <w:gridSpan w:val="2"/>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027C6EE8">
            <w:pPr>
              <w:keepNext w:val="0"/>
              <w:keepLines w:val="0"/>
              <w:widowControl/>
              <w:suppressLineNumbers w:val="0"/>
              <w:spacing w:line="240" w:lineRule="auto"/>
              <w:ind w:firstLine="0" w:firstLineChars="0"/>
              <w:jc w:val="center"/>
              <w:textAlignment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kern w:val="2"/>
                <w:sz w:val="24"/>
                <w:szCs w:val="24"/>
                <w:lang w:val="en-US" w:eastAsia="zh-CN" w:bidi="ar-SA"/>
              </w:rPr>
              <w:t>活动水平数据</w:t>
            </w:r>
          </w:p>
        </w:tc>
        <w:tc>
          <w:tcPr>
            <w:tcW w:w="2903"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3EA15CEE">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kern w:val="2"/>
                <w:sz w:val="24"/>
                <w:szCs w:val="24"/>
                <w:lang w:val="en-US" w:eastAsia="zh-CN" w:bidi="ar-SA"/>
              </w:rPr>
              <w:t>二氧化碳排放量</w:t>
            </w:r>
          </w:p>
          <w:p w14:paraId="594B2C96">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kern w:val="2"/>
                <w:sz w:val="24"/>
                <w:szCs w:val="24"/>
                <w:lang w:val="en-US" w:eastAsia="zh-CN" w:bidi="ar-SA"/>
              </w:rPr>
              <w:t>（吨二氧化碳）</w:t>
            </w:r>
          </w:p>
        </w:tc>
      </w:tr>
      <w:tr w14:paraId="689FD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3100"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3180CE2">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纸张使用</w:t>
            </w:r>
          </w:p>
        </w:tc>
        <w:tc>
          <w:tcPr>
            <w:tcW w:w="1330"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046C4BA6">
            <w:pPr>
              <w:keepNext w:val="0"/>
              <w:keepLines w:val="0"/>
              <w:widowControl/>
              <w:suppressLineNumbers w:val="0"/>
              <w:spacing w:line="240" w:lineRule="auto"/>
              <w:ind w:firstLine="0" w:firstLineChars="0"/>
              <w:jc w:val="center"/>
              <w:textAlignment w:val="center"/>
              <w:rPr>
                <w:rFonts w:hint="default" w:ascii="仿宋_GB2312" w:hAnsi="仿宋_GB2312" w:eastAsia="仿宋_GB2312" w:cs="仿宋_GB2312"/>
                <w:i w:val="0"/>
                <w:color w:val="000000"/>
                <w:sz w:val="22"/>
                <w:szCs w:val="22"/>
                <w:u w:val="none"/>
                <w:lang w:val="en-US"/>
              </w:rPr>
            </w:pPr>
            <w:r>
              <w:rPr>
                <w:rFonts w:hint="eastAsia" w:ascii="仿宋_GB2312" w:hAnsi="仿宋_GB2312" w:eastAsia="仿宋_GB2312" w:cs="仿宋_GB2312"/>
                <w:i w:val="0"/>
                <w:color w:val="000000"/>
                <w:kern w:val="0"/>
                <w:sz w:val="22"/>
                <w:szCs w:val="22"/>
                <w:u w:val="none"/>
                <w:lang w:val="en-US" w:eastAsia="zh-CN" w:bidi="ar"/>
              </w:rPr>
              <w:t>9650</w:t>
            </w:r>
          </w:p>
        </w:tc>
        <w:tc>
          <w:tcPr>
            <w:tcW w:w="1110"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6152EC0A">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千克</w:t>
            </w:r>
          </w:p>
        </w:tc>
        <w:tc>
          <w:tcPr>
            <w:tcW w:w="2903"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7AF6414D">
            <w:pPr>
              <w:keepNext w:val="0"/>
              <w:keepLines w:val="0"/>
              <w:widowControl/>
              <w:suppressLineNumbers w:val="0"/>
              <w:spacing w:line="240" w:lineRule="auto"/>
              <w:ind w:firstLine="0" w:firstLineChars="0"/>
              <w:jc w:val="center"/>
              <w:textAlignment w:val="center"/>
              <w:rPr>
                <w:rFonts w:hint="default" w:ascii="仿宋_GB2312" w:hAnsi="仿宋_GB2312" w:eastAsia="仿宋_GB2312" w:cs="仿宋_GB2312"/>
                <w:i w:val="0"/>
                <w:color w:val="000000"/>
                <w:sz w:val="22"/>
                <w:szCs w:val="22"/>
                <w:u w:val="none"/>
                <w:lang w:val="en-US"/>
              </w:rPr>
            </w:pPr>
            <w:r>
              <w:rPr>
                <w:rFonts w:hint="eastAsia" w:ascii="仿宋_GB2312" w:hAnsi="仿宋_GB2312" w:eastAsia="仿宋_GB2312" w:cs="仿宋_GB2312"/>
                <w:i w:val="0"/>
                <w:color w:val="000000"/>
                <w:kern w:val="0"/>
                <w:sz w:val="22"/>
                <w:szCs w:val="22"/>
                <w:u w:val="none"/>
                <w:lang w:val="en-US" w:eastAsia="zh-CN" w:bidi="ar"/>
              </w:rPr>
              <w:t>1.35</w:t>
            </w:r>
          </w:p>
        </w:tc>
      </w:tr>
      <w:tr w14:paraId="0681E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1550"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AABE70E">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员工差旅</w:t>
            </w:r>
          </w:p>
        </w:tc>
        <w:tc>
          <w:tcPr>
            <w:tcW w:w="15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05B92B2">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飞机</w:t>
            </w:r>
          </w:p>
        </w:tc>
        <w:tc>
          <w:tcPr>
            <w:tcW w:w="1330"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28959752">
            <w:pPr>
              <w:keepNext w:val="0"/>
              <w:keepLines w:val="0"/>
              <w:widowControl/>
              <w:suppressLineNumbers w:val="0"/>
              <w:spacing w:line="240" w:lineRule="auto"/>
              <w:ind w:firstLine="0" w:firstLineChars="0"/>
              <w:jc w:val="center"/>
              <w:textAlignment w:val="center"/>
              <w:rPr>
                <w:rFonts w:hint="default" w:ascii="仿宋_GB2312" w:hAnsi="仿宋_GB2312" w:eastAsia="仿宋_GB2312" w:cs="仿宋_GB2312"/>
                <w:i w:val="0"/>
                <w:color w:val="000000"/>
                <w:sz w:val="22"/>
                <w:szCs w:val="22"/>
                <w:u w:val="none"/>
                <w:lang w:val="en-US"/>
              </w:rPr>
            </w:pPr>
            <w:r>
              <w:rPr>
                <w:rFonts w:hint="eastAsia" w:ascii="仿宋_GB2312" w:hAnsi="仿宋_GB2312" w:eastAsia="仿宋_GB2312" w:cs="仿宋_GB2312"/>
                <w:i w:val="0"/>
                <w:color w:val="000000"/>
                <w:kern w:val="0"/>
                <w:sz w:val="22"/>
                <w:szCs w:val="22"/>
                <w:u w:val="none"/>
                <w:lang w:val="en-US" w:eastAsia="zh-CN" w:bidi="ar"/>
              </w:rPr>
              <w:t>20000</w:t>
            </w:r>
          </w:p>
        </w:tc>
        <w:tc>
          <w:tcPr>
            <w:tcW w:w="1110"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6F45B021">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公里</w:t>
            </w:r>
          </w:p>
        </w:tc>
        <w:tc>
          <w:tcPr>
            <w:tcW w:w="2903"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1D9BB3FC">
            <w:pPr>
              <w:keepNext w:val="0"/>
              <w:keepLines w:val="0"/>
              <w:widowControl/>
              <w:suppressLineNumbers w:val="0"/>
              <w:spacing w:line="240" w:lineRule="auto"/>
              <w:ind w:firstLine="0" w:firstLineChars="0"/>
              <w:jc w:val="center"/>
              <w:textAlignment w:val="center"/>
              <w:rPr>
                <w:rFonts w:hint="default" w:ascii="仿宋_GB2312" w:hAnsi="仿宋_GB2312" w:eastAsia="仿宋_GB2312" w:cs="仿宋_GB2312"/>
                <w:i w:val="0"/>
                <w:color w:val="000000"/>
                <w:sz w:val="22"/>
                <w:szCs w:val="22"/>
                <w:u w:val="none"/>
                <w:lang w:val="en-US"/>
              </w:rPr>
            </w:pPr>
            <w:r>
              <w:rPr>
                <w:rFonts w:hint="eastAsia" w:ascii="仿宋_GB2312" w:hAnsi="仿宋_GB2312" w:eastAsia="仿宋_GB2312" w:cs="仿宋_GB2312"/>
                <w:i w:val="0"/>
                <w:color w:val="000000"/>
                <w:kern w:val="0"/>
                <w:sz w:val="22"/>
                <w:szCs w:val="22"/>
                <w:u w:val="none"/>
                <w:lang w:val="en-US" w:eastAsia="zh-CN" w:bidi="ar"/>
              </w:rPr>
              <w:t>1.76</w:t>
            </w:r>
          </w:p>
        </w:tc>
      </w:tr>
      <w:tr w14:paraId="18366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1550"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18276F6">
            <w:pPr>
              <w:spacing w:line="240" w:lineRule="auto"/>
              <w:ind w:firstLine="0" w:firstLineChars="0"/>
              <w:jc w:val="center"/>
              <w:rPr>
                <w:rFonts w:hint="eastAsia" w:ascii="仿宋_GB2312" w:hAnsi="仿宋_GB2312" w:eastAsia="仿宋_GB2312" w:cs="仿宋_GB2312"/>
                <w:i w:val="0"/>
                <w:color w:val="000000"/>
                <w:sz w:val="22"/>
                <w:szCs w:val="22"/>
                <w:u w:val="none"/>
              </w:rPr>
            </w:pPr>
          </w:p>
        </w:tc>
        <w:tc>
          <w:tcPr>
            <w:tcW w:w="15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751A4BA">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高铁</w:t>
            </w:r>
          </w:p>
        </w:tc>
        <w:tc>
          <w:tcPr>
            <w:tcW w:w="1330"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2664D00C">
            <w:pPr>
              <w:keepNext w:val="0"/>
              <w:keepLines w:val="0"/>
              <w:widowControl/>
              <w:suppressLineNumbers w:val="0"/>
              <w:spacing w:line="240" w:lineRule="auto"/>
              <w:ind w:firstLine="0" w:firstLineChars="0"/>
              <w:jc w:val="center"/>
              <w:textAlignment w:val="center"/>
              <w:rPr>
                <w:rFonts w:hint="default" w:ascii="仿宋_GB2312" w:hAnsi="仿宋_GB2312" w:eastAsia="仿宋_GB2312" w:cs="仿宋_GB2312"/>
                <w:i w:val="0"/>
                <w:color w:val="000000"/>
                <w:sz w:val="22"/>
                <w:szCs w:val="22"/>
                <w:u w:val="none"/>
                <w:lang w:val="en-US"/>
              </w:rPr>
            </w:pPr>
            <w:r>
              <w:rPr>
                <w:rFonts w:hint="eastAsia" w:ascii="仿宋_GB2312" w:hAnsi="仿宋_GB2312" w:eastAsia="仿宋_GB2312" w:cs="仿宋_GB2312"/>
                <w:i w:val="0"/>
                <w:color w:val="000000"/>
                <w:kern w:val="0"/>
                <w:sz w:val="22"/>
                <w:szCs w:val="22"/>
                <w:u w:val="none"/>
                <w:lang w:val="en-US" w:eastAsia="zh-CN" w:bidi="ar"/>
              </w:rPr>
              <w:t>100000</w:t>
            </w:r>
          </w:p>
        </w:tc>
        <w:tc>
          <w:tcPr>
            <w:tcW w:w="1110"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6FCC25A2">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公里</w:t>
            </w:r>
          </w:p>
        </w:tc>
        <w:tc>
          <w:tcPr>
            <w:tcW w:w="2903"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1E918702">
            <w:pPr>
              <w:keepNext w:val="0"/>
              <w:keepLines w:val="0"/>
              <w:widowControl/>
              <w:suppressLineNumbers w:val="0"/>
              <w:spacing w:line="240" w:lineRule="auto"/>
              <w:ind w:firstLine="0" w:firstLineChars="0"/>
              <w:jc w:val="center"/>
              <w:textAlignment w:val="center"/>
              <w:rPr>
                <w:rFonts w:hint="default" w:ascii="仿宋_GB2312" w:hAnsi="仿宋_GB2312" w:eastAsia="仿宋_GB2312" w:cs="仿宋_GB2312"/>
                <w:i w:val="0"/>
                <w:color w:val="000000"/>
                <w:sz w:val="22"/>
                <w:szCs w:val="22"/>
                <w:u w:val="none"/>
                <w:lang w:val="en-US"/>
              </w:rPr>
            </w:pPr>
            <w:r>
              <w:rPr>
                <w:rFonts w:hint="eastAsia" w:ascii="仿宋_GB2312" w:hAnsi="仿宋_GB2312" w:eastAsia="仿宋_GB2312" w:cs="仿宋_GB2312"/>
                <w:i w:val="0"/>
                <w:color w:val="000000"/>
                <w:kern w:val="0"/>
                <w:sz w:val="22"/>
                <w:szCs w:val="22"/>
                <w:u w:val="none"/>
                <w:lang w:val="en-US" w:eastAsia="zh-CN" w:bidi="ar"/>
              </w:rPr>
              <w:t>2.6</w:t>
            </w:r>
          </w:p>
        </w:tc>
      </w:tr>
      <w:tr w14:paraId="690F6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1550"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379223E">
            <w:pPr>
              <w:spacing w:line="240" w:lineRule="auto"/>
              <w:ind w:firstLine="0" w:firstLineChars="0"/>
              <w:jc w:val="center"/>
              <w:rPr>
                <w:rFonts w:hint="eastAsia" w:ascii="仿宋_GB2312" w:hAnsi="仿宋_GB2312" w:eastAsia="仿宋_GB2312" w:cs="仿宋_GB2312"/>
                <w:i w:val="0"/>
                <w:color w:val="000000"/>
                <w:sz w:val="22"/>
                <w:szCs w:val="22"/>
                <w:u w:val="none"/>
              </w:rPr>
            </w:pPr>
          </w:p>
        </w:tc>
        <w:tc>
          <w:tcPr>
            <w:tcW w:w="15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24D059E">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道路交通</w:t>
            </w:r>
          </w:p>
        </w:tc>
        <w:tc>
          <w:tcPr>
            <w:tcW w:w="1330"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28BDDCB7">
            <w:pPr>
              <w:keepNext w:val="0"/>
              <w:keepLines w:val="0"/>
              <w:widowControl/>
              <w:suppressLineNumbers w:val="0"/>
              <w:spacing w:line="240" w:lineRule="auto"/>
              <w:ind w:firstLine="0" w:firstLineChars="0"/>
              <w:jc w:val="center"/>
              <w:textAlignment w:val="center"/>
              <w:rPr>
                <w:rFonts w:hint="default" w:ascii="仿宋_GB2312" w:hAnsi="仿宋_GB2312" w:eastAsia="仿宋_GB2312" w:cs="仿宋_GB2312"/>
                <w:i w:val="0"/>
                <w:color w:val="000000"/>
                <w:sz w:val="22"/>
                <w:szCs w:val="22"/>
                <w:u w:val="none"/>
                <w:lang w:val="en-US"/>
              </w:rPr>
            </w:pPr>
            <w:r>
              <w:rPr>
                <w:rFonts w:hint="eastAsia" w:ascii="仿宋_GB2312" w:hAnsi="仿宋_GB2312" w:eastAsia="仿宋_GB2312" w:cs="仿宋_GB2312"/>
                <w:i w:val="0"/>
                <w:color w:val="000000"/>
                <w:kern w:val="0"/>
                <w:sz w:val="22"/>
                <w:szCs w:val="22"/>
                <w:u w:val="none"/>
                <w:lang w:val="en-US" w:eastAsia="zh-CN" w:bidi="ar"/>
              </w:rPr>
              <w:t>96000</w:t>
            </w:r>
          </w:p>
        </w:tc>
        <w:tc>
          <w:tcPr>
            <w:tcW w:w="1110"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4C798777">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公里</w:t>
            </w:r>
          </w:p>
        </w:tc>
        <w:tc>
          <w:tcPr>
            <w:tcW w:w="2903"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43332F14">
            <w:pPr>
              <w:keepNext w:val="0"/>
              <w:keepLines w:val="0"/>
              <w:widowControl/>
              <w:suppressLineNumbers w:val="0"/>
              <w:spacing w:line="240" w:lineRule="auto"/>
              <w:ind w:firstLine="0" w:firstLineChars="0"/>
              <w:jc w:val="center"/>
              <w:textAlignment w:val="center"/>
              <w:rPr>
                <w:rFonts w:hint="default" w:ascii="仿宋_GB2312" w:hAnsi="仿宋_GB2312" w:eastAsia="仿宋_GB2312" w:cs="仿宋_GB2312"/>
                <w:i w:val="0"/>
                <w:color w:val="000000"/>
                <w:sz w:val="22"/>
                <w:szCs w:val="22"/>
                <w:u w:val="none"/>
                <w:lang w:val="en-US"/>
              </w:rPr>
            </w:pPr>
            <w:r>
              <w:rPr>
                <w:rFonts w:hint="eastAsia" w:ascii="仿宋_GB2312" w:hAnsi="仿宋_GB2312" w:eastAsia="仿宋_GB2312" w:cs="仿宋_GB2312"/>
                <w:i w:val="0"/>
                <w:color w:val="000000"/>
                <w:kern w:val="0"/>
                <w:sz w:val="22"/>
                <w:szCs w:val="22"/>
                <w:u w:val="none"/>
                <w:lang w:val="en-US" w:eastAsia="zh-CN" w:bidi="ar"/>
              </w:rPr>
              <w:t>2.69</w:t>
            </w:r>
          </w:p>
        </w:tc>
      </w:tr>
      <w:tr w14:paraId="09CAD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15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5B346D2">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外包运输</w:t>
            </w:r>
          </w:p>
        </w:tc>
        <w:tc>
          <w:tcPr>
            <w:tcW w:w="15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2D324DD">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汽油</w:t>
            </w:r>
          </w:p>
        </w:tc>
        <w:tc>
          <w:tcPr>
            <w:tcW w:w="1330"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562BBA84">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0</w:t>
            </w:r>
          </w:p>
        </w:tc>
        <w:tc>
          <w:tcPr>
            <w:tcW w:w="1110"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0620E398">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吨</w:t>
            </w:r>
          </w:p>
        </w:tc>
        <w:tc>
          <w:tcPr>
            <w:tcW w:w="2903"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38641DD4">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0.00</w:t>
            </w:r>
          </w:p>
        </w:tc>
      </w:tr>
      <w:tr w14:paraId="1BD40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1550"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58D0B25">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垃圾处理</w:t>
            </w:r>
          </w:p>
        </w:tc>
        <w:tc>
          <w:tcPr>
            <w:tcW w:w="15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10BD7AC">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厨余垃圾</w:t>
            </w:r>
          </w:p>
        </w:tc>
        <w:tc>
          <w:tcPr>
            <w:tcW w:w="1330"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1BB2D929">
            <w:pPr>
              <w:keepNext w:val="0"/>
              <w:keepLines w:val="0"/>
              <w:widowControl/>
              <w:suppressLineNumbers w:val="0"/>
              <w:spacing w:line="240" w:lineRule="auto"/>
              <w:ind w:firstLine="0" w:firstLineChars="0"/>
              <w:jc w:val="center"/>
              <w:textAlignment w:val="center"/>
              <w:rPr>
                <w:rFonts w:hint="default" w:ascii="仿宋_GB2312" w:hAnsi="仿宋_GB2312" w:eastAsia="仿宋_GB2312" w:cs="仿宋_GB2312"/>
                <w:i w:val="0"/>
                <w:color w:val="000000"/>
                <w:sz w:val="22"/>
                <w:szCs w:val="22"/>
                <w:u w:val="none"/>
                <w:lang w:val="en-US"/>
              </w:rPr>
            </w:pPr>
            <w:r>
              <w:rPr>
                <w:rFonts w:hint="eastAsia" w:ascii="仿宋_GB2312" w:hAnsi="仿宋_GB2312" w:eastAsia="仿宋_GB2312" w:cs="仿宋_GB2312"/>
                <w:i w:val="0"/>
                <w:color w:val="000000"/>
                <w:kern w:val="0"/>
                <w:sz w:val="22"/>
                <w:szCs w:val="22"/>
                <w:u w:val="none"/>
                <w:lang w:val="en-US" w:eastAsia="zh-CN" w:bidi="ar"/>
              </w:rPr>
              <w:t>30</w:t>
            </w:r>
          </w:p>
        </w:tc>
        <w:tc>
          <w:tcPr>
            <w:tcW w:w="1110"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76CBA952">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吨</w:t>
            </w:r>
          </w:p>
        </w:tc>
        <w:tc>
          <w:tcPr>
            <w:tcW w:w="2903"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02A20F03">
            <w:pPr>
              <w:keepNext w:val="0"/>
              <w:keepLines w:val="0"/>
              <w:widowControl/>
              <w:suppressLineNumbers w:val="0"/>
              <w:spacing w:line="240" w:lineRule="auto"/>
              <w:ind w:firstLine="0" w:firstLineChars="0"/>
              <w:jc w:val="center"/>
              <w:textAlignment w:val="center"/>
              <w:rPr>
                <w:rFonts w:hint="default" w:ascii="仿宋_GB2312" w:hAnsi="仿宋_GB2312" w:eastAsia="仿宋_GB2312" w:cs="仿宋_GB2312"/>
                <w:i w:val="0"/>
                <w:color w:val="000000"/>
                <w:sz w:val="22"/>
                <w:szCs w:val="22"/>
                <w:u w:val="none"/>
                <w:lang w:val="en-US"/>
              </w:rPr>
            </w:pPr>
            <w:r>
              <w:rPr>
                <w:rFonts w:hint="eastAsia" w:ascii="仿宋_GB2312" w:hAnsi="仿宋_GB2312" w:eastAsia="仿宋_GB2312" w:cs="仿宋_GB2312"/>
                <w:i w:val="0"/>
                <w:color w:val="000000"/>
                <w:kern w:val="0"/>
                <w:sz w:val="22"/>
                <w:szCs w:val="22"/>
                <w:u w:val="none"/>
                <w:lang w:val="en-US" w:eastAsia="zh-CN" w:bidi="ar"/>
              </w:rPr>
              <w:t>0.13</w:t>
            </w:r>
          </w:p>
        </w:tc>
      </w:tr>
      <w:tr w14:paraId="7BCE9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1550"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132B1A2">
            <w:pPr>
              <w:spacing w:line="240" w:lineRule="auto"/>
              <w:ind w:firstLine="0" w:firstLineChars="0"/>
              <w:jc w:val="center"/>
              <w:rPr>
                <w:rFonts w:hint="eastAsia" w:ascii="仿宋_GB2312" w:hAnsi="仿宋_GB2312" w:eastAsia="仿宋_GB2312" w:cs="仿宋_GB2312"/>
                <w:i w:val="0"/>
                <w:color w:val="000000"/>
                <w:sz w:val="22"/>
                <w:szCs w:val="22"/>
                <w:u w:val="none"/>
              </w:rPr>
            </w:pPr>
          </w:p>
        </w:tc>
        <w:tc>
          <w:tcPr>
            <w:tcW w:w="15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8DA8576">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其他垃圾</w:t>
            </w:r>
          </w:p>
        </w:tc>
        <w:tc>
          <w:tcPr>
            <w:tcW w:w="1330"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26DD1213">
            <w:pPr>
              <w:keepNext w:val="0"/>
              <w:keepLines w:val="0"/>
              <w:widowControl/>
              <w:suppressLineNumbers w:val="0"/>
              <w:spacing w:line="240" w:lineRule="auto"/>
              <w:ind w:firstLine="0" w:firstLineChars="0"/>
              <w:jc w:val="center"/>
              <w:textAlignment w:val="center"/>
              <w:rPr>
                <w:rFonts w:hint="default" w:ascii="仿宋_GB2312" w:hAnsi="仿宋_GB2312" w:eastAsia="仿宋_GB2312" w:cs="仿宋_GB2312"/>
                <w:i w:val="0"/>
                <w:color w:val="000000"/>
                <w:sz w:val="22"/>
                <w:szCs w:val="22"/>
                <w:u w:val="none"/>
                <w:lang w:val="en-US"/>
              </w:rPr>
            </w:pPr>
            <w:r>
              <w:rPr>
                <w:rFonts w:hint="eastAsia" w:ascii="仿宋_GB2312" w:hAnsi="仿宋_GB2312" w:eastAsia="仿宋_GB2312" w:cs="仿宋_GB2312"/>
                <w:i w:val="0"/>
                <w:color w:val="000000"/>
                <w:kern w:val="0"/>
                <w:sz w:val="22"/>
                <w:szCs w:val="22"/>
                <w:u w:val="none"/>
                <w:lang w:val="en-US" w:eastAsia="zh-CN" w:bidi="ar"/>
              </w:rPr>
              <w:t>30</w:t>
            </w:r>
          </w:p>
        </w:tc>
        <w:tc>
          <w:tcPr>
            <w:tcW w:w="1110"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3536471E">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吨</w:t>
            </w:r>
          </w:p>
        </w:tc>
        <w:tc>
          <w:tcPr>
            <w:tcW w:w="2903" w:type="dxa"/>
            <w:tcBorders>
              <w:top w:val="single" w:color="auto" w:sz="4" w:space="0"/>
              <w:left w:val="single" w:color="auto" w:sz="4" w:space="0"/>
              <w:bottom w:val="single" w:color="auto" w:sz="4" w:space="0"/>
              <w:right w:val="single" w:color="auto" w:sz="4" w:space="0"/>
            </w:tcBorders>
            <w:shd w:val="clear" w:color="FFFFFF" w:themeColor="background1" w:fill="auto"/>
            <w:noWrap/>
            <w:tcMar>
              <w:top w:w="15" w:type="dxa"/>
              <w:left w:w="15" w:type="dxa"/>
              <w:right w:w="15" w:type="dxa"/>
            </w:tcMar>
            <w:vAlign w:val="center"/>
          </w:tcPr>
          <w:p w14:paraId="2D2B97B2">
            <w:pPr>
              <w:keepNext w:val="0"/>
              <w:keepLines w:val="0"/>
              <w:widowControl/>
              <w:suppressLineNumbers w:val="0"/>
              <w:spacing w:line="240" w:lineRule="auto"/>
              <w:ind w:firstLine="0" w:firstLineChars="0"/>
              <w:jc w:val="center"/>
              <w:textAlignment w:val="center"/>
              <w:rPr>
                <w:rFonts w:hint="default" w:ascii="仿宋_GB2312" w:hAnsi="仿宋_GB2312" w:eastAsia="仿宋_GB2312" w:cs="仿宋_GB2312"/>
                <w:i w:val="0"/>
                <w:color w:val="000000"/>
                <w:sz w:val="22"/>
                <w:szCs w:val="22"/>
                <w:u w:val="none"/>
                <w:lang w:val="en-US"/>
              </w:rPr>
            </w:pPr>
            <w:r>
              <w:rPr>
                <w:rFonts w:hint="eastAsia" w:ascii="仿宋_GB2312" w:hAnsi="仿宋_GB2312" w:eastAsia="仿宋_GB2312" w:cs="仿宋_GB2312"/>
                <w:i w:val="0"/>
                <w:color w:val="000000"/>
                <w:kern w:val="0"/>
                <w:sz w:val="22"/>
                <w:szCs w:val="22"/>
                <w:u w:val="none"/>
                <w:lang w:val="en-US" w:eastAsia="zh-CN" w:bidi="ar"/>
              </w:rPr>
              <w:t>10.60</w:t>
            </w:r>
          </w:p>
        </w:tc>
      </w:tr>
    </w:tbl>
    <w:p w14:paraId="4F502B1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（五）金融机构自身运营二氧化碳排放</w:t>
      </w:r>
    </w:p>
    <w:tbl>
      <w:tblPr>
        <w:tblStyle w:val="17"/>
        <w:tblW w:w="84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079"/>
        <w:gridCol w:w="2377"/>
        <w:gridCol w:w="981"/>
      </w:tblGrid>
      <w:tr w14:paraId="2FD7F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50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BE0E88">
            <w:pPr>
              <w:keepNext w:val="0"/>
              <w:keepLines w:val="0"/>
              <w:widowControl/>
              <w:suppressLineNumbers w:val="0"/>
              <w:spacing w:line="240" w:lineRule="auto"/>
              <w:ind w:firstLine="0" w:firstLineChars="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排放方式/指标</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E21AF9">
            <w:pPr>
              <w:keepNext w:val="0"/>
              <w:keepLines w:val="0"/>
              <w:widowControl/>
              <w:suppressLineNumbers w:val="0"/>
              <w:spacing w:line="240" w:lineRule="auto"/>
              <w:ind w:firstLine="0" w:firstLineChars="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单位</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tcMar>
              <w:top w:w="15" w:type="dxa"/>
              <w:left w:w="15" w:type="dxa"/>
              <w:right w:w="15" w:type="dxa"/>
            </w:tcMar>
            <w:vAlign w:val="center"/>
          </w:tcPr>
          <w:p w14:paraId="17427004">
            <w:pPr>
              <w:keepNext w:val="0"/>
              <w:keepLines w:val="0"/>
              <w:widowControl/>
              <w:suppressLineNumbers w:val="0"/>
              <w:spacing w:line="240" w:lineRule="auto"/>
              <w:ind w:left="0" w:leftChars="0" w:firstLine="0" w:firstLineChars="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数值</w:t>
            </w:r>
          </w:p>
        </w:tc>
      </w:tr>
      <w:tr w14:paraId="2870D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50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086B1C">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直接排放（范围1）</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8F7B63">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吨二氧化碳</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tcMar>
              <w:top w:w="15" w:type="dxa"/>
              <w:left w:w="15" w:type="dxa"/>
              <w:right w:w="15" w:type="dxa"/>
            </w:tcMar>
            <w:vAlign w:val="center"/>
          </w:tcPr>
          <w:p w14:paraId="2DEA2555">
            <w:pPr>
              <w:keepNext w:val="0"/>
              <w:keepLines w:val="0"/>
              <w:widowControl/>
              <w:suppressLineNumbers w:val="0"/>
              <w:spacing w:line="240" w:lineRule="auto"/>
              <w:ind w:left="0" w:leftChars="0" w:firstLine="0" w:firstLineChars="0"/>
              <w:jc w:val="center"/>
              <w:textAlignment w:val="center"/>
              <w:rPr>
                <w:rFonts w:hint="default"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81.27</w:t>
            </w:r>
          </w:p>
        </w:tc>
      </w:tr>
      <w:tr w14:paraId="61359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50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33B347">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间接排放（范围2+范围3）</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67E79B">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吨二氧化碳</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tcMar>
              <w:top w:w="15" w:type="dxa"/>
              <w:left w:w="15" w:type="dxa"/>
              <w:right w:w="15" w:type="dxa"/>
            </w:tcMar>
            <w:vAlign w:val="center"/>
          </w:tcPr>
          <w:p w14:paraId="3FE7A60B">
            <w:pPr>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 xml:space="preserve">3255.79 </w:t>
            </w:r>
          </w:p>
        </w:tc>
      </w:tr>
      <w:tr w14:paraId="10E3C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50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DEF5BD">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二氧化碳排放总量（范围1+范围2+范围3）</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7CCE4C">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吨二氧化碳</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tcMar>
              <w:top w:w="15" w:type="dxa"/>
              <w:left w:w="15" w:type="dxa"/>
              <w:right w:w="15" w:type="dxa"/>
            </w:tcMar>
            <w:vAlign w:val="center"/>
          </w:tcPr>
          <w:p w14:paraId="3416DA73">
            <w:pPr>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 xml:space="preserve">3337.06 </w:t>
            </w:r>
          </w:p>
        </w:tc>
      </w:tr>
      <w:tr w14:paraId="4998F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50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B3C7DA">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二氧化碳排放总量（范围1+范围2）</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AD6588">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吨二氧化碳</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tcMar>
              <w:top w:w="15" w:type="dxa"/>
              <w:left w:w="15" w:type="dxa"/>
              <w:right w:w="15" w:type="dxa"/>
            </w:tcMar>
            <w:vAlign w:val="center"/>
          </w:tcPr>
          <w:p w14:paraId="054E3380">
            <w:pPr>
              <w:keepNext w:val="0"/>
              <w:keepLines w:val="0"/>
              <w:widowControl/>
              <w:suppressLineNumbers w:val="0"/>
              <w:spacing w:line="240" w:lineRule="auto"/>
              <w:ind w:left="0" w:leftChars="0" w:firstLine="0" w:firstLineChars="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 xml:space="preserve">3317.93 </w:t>
            </w:r>
          </w:p>
        </w:tc>
      </w:tr>
      <w:tr w14:paraId="26D7E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50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881A66">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人均二氧化碳排放量（范围1+范围2）</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E24454">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吨二氧化碳/人</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tcMar>
              <w:top w:w="15" w:type="dxa"/>
              <w:left w:w="15" w:type="dxa"/>
              <w:right w:w="15" w:type="dxa"/>
            </w:tcMar>
            <w:vAlign w:val="center"/>
          </w:tcPr>
          <w:p w14:paraId="45279E25">
            <w:pPr>
              <w:keepNext w:val="0"/>
              <w:keepLines w:val="0"/>
              <w:widowControl/>
              <w:suppressLineNumbers w:val="0"/>
              <w:spacing w:line="240" w:lineRule="auto"/>
              <w:ind w:left="0" w:leftChars="0" w:firstLine="0" w:firstLineChars="0"/>
              <w:jc w:val="center"/>
              <w:textAlignment w:val="center"/>
              <w:rPr>
                <w:rFonts w:hint="default"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4.15</w:t>
            </w:r>
          </w:p>
        </w:tc>
      </w:tr>
      <w:tr w14:paraId="28FFE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50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C61846">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单位建筑面积二氧化碳排放量（范围1+范围2）</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BBDA52">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吨二氧化碳/平方米</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tcMar>
              <w:top w:w="15" w:type="dxa"/>
              <w:left w:w="15" w:type="dxa"/>
              <w:right w:w="15" w:type="dxa"/>
            </w:tcMar>
            <w:vAlign w:val="center"/>
          </w:tcPr>
          <w:p w14:paraId="3A1F62E4">
            <w:pPr>
              <w:keepNext w:val="0"/>
              <w:keepLines w:val="0"/>
              <w:widowControl/>
              <w:suppressLineNumbers w:val="0"/>
              <w:spacing w:line="240" w:lineRule="auto"/>
              <w:ind w:left="0" w:leftChars="0" w:firstLine="0" w:firstLineChars="0"/>
              <w:jc w:val="center"/>
              <w:textAlignment w:val="center"/>
              <w:rPr>
                <w:rFonts w:hint="default"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0.06</w:t>
            </w:r>
          </w:p>
        </w:tc>
      </w:tr>
    </w:tbl>
    <w:p w14:paraId="008604A8">
      <w:pPr>
        <w:pStyle w:val="6"/>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综上，</w:t>
      </w:r>
      <w:r>
        <w:rPr>
          <w:rFonts w:hint="default" w:ascii="仿宋_GB2312" w:hAnsi="仿宋_GB2312" w:eastAsia="仿宋_GB2312" w:cs="仿宋_GB2312"/>
          <w:color w:val="000000" w:themeColor="text1"/>
          <w:highlight w:val="none"/>
          <w:lang w:val="en-US" w:eastAsia="zh-CN"/>
          <w14:textFill>
            <w14:solidFill>
              <w14:schemeClr w14:val="tx1"/>
            </w14:solidFill>
          </w14:textFill>
        </w:rPr>
        <w:t>202</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5</w:t>
      </w:r>
      <w:r>
        <w:rPr>
          <w:rFonts w:hint="default" w:ascii="仿宋_GB2312" w:hAnsi="仿宋_GB2312" w:eastAsia="仿宋_GB2312" w:cs="仿宋_GB2312"/>
          <w:color w:val="000000" w:themeColor="text1"/>
          <w:highlight w:val="none"/>
          <w:lang w:val="en-US" w:eastAsia="zh-CN"/>
          <w14:textFill>
            <w14:solidFill>
              <w14:schemeClr w14:val="tx1"/>
            </w14:solidFill>
          </w14:textFill>
        </w:rPr>
        <w:t>年，本行温室气体排放总量（直接温室气体排放与间接温室气体排放之和）为</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3337.06</w:t>
      </w:r>
      <w:r>
        <w:rPr>
          <w:rFonts w:hint="default" w:ascii="仿宋_GB2312" w:hAnsi="仿宋_GB2312" w:eastAsia="仿宋_GB2312" w:cs="仿宋_GB2312"/>
          <w:color w:val="000000" w:themeColor="text1"/>
          <w:highlight w:val="none"/>
          <w:lang w:val="en-US" w:eastAsia="zh-CN"/>
          <w14:textFill>
            <w14:solidFill>
              <w14:schemeClr w14:val="tx1"/>
            </w14:solidFill>
          </w14:textFill>
        </w:rPr>
        <w:t>吨二氧化碳当量，人均温室气体排放</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4.15</w:t>
      </w:r>
      <w:r>
        <w:rPr>
          <w:rFonts w:hint="default" w:ascii="仿宋_GB2312" w:hAnsi="仿宋_GB2312" w:eastAsia="仿宋_GB2312" w:cs="仿宋_GB2312"/>
          <w:color w:val="000000" w:themeColor="text1"/>
          <w:highlight w:val="none"/>
          <w:lang w:val="en-US" w:eastAsia="zh-CN"/>
          <w14:textFill>
            <w14:solidFill>
              <w14:schemeClr w14:val="tx1"/>
            </w14:solidFill>
          </w14:textFill>
        </w:rPr>
        <w:t>吨二氧化碳当量</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w:t>
      </w:r>
    </w:p>
    <w:p w14:paraId="7576DB6B">
      <w:pPr>
        <w:pStyle w:val="6"/>
        <w:keepNext w:val="0"/>
        <w:keepLines w:val="0"/>
        <w:pageBreakBefore w:val="0"/>
        <w:widowControl w:val="0"/>
        <w:kinsoku/>
        <w:wordWrap/>
        <w:overflowPunct/>
        <w:topLinePunct w:val="0"/>
        <w:autoSpaceDE/>
        <w:autoSpaceDN/>
        <w:bidi w:val="0"/>
        <w:adjustRightInd/>
        <w:snapToGrid/>
        <w:spacing w:after="200" w:line="560" w:lineRule="exact"/>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在</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本行经营活动环境影响的计算</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中</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，电力二氧化碳排放系数来源于《</w:t>
      </w:r>
      <w:r>
        <w:rPr>
          <w:rFonts w:hint="eastAsia" w:ascii="仿宋_GB2312" w:hAnsi="仿宋_GB2312" w:eastAsia="仿宋_GB2312" w:cs="仿宋_GB2312"/>
          <w:i w:val="0"/>
          <w:iCs w:val="0"/>
          <w:caps w:val="0"/>
          <w:color w:val="000000" w:themeColor="text1"/>
          <w:spacing w:val="0"/>
          <w:kern w:val="0"/>
          <w:sz w:val="32"/>
          <w:szCs w:val="32"/>
          <w:shd w:val="clear" w:fill="auto"/>
          <w:lang w:bidi="ar"/>
          <w14:textFill>
            <w14:solidFill>
              <w14:schemeClr w14:val="tx1"/>
            </w14:solidFill>
          </w14:textFill>
        </w:rPr>
        <w:t>关于发布2023年电力二氧化碳排放因子的公告</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》中明确</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的</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全国电网平均排放因子0.5</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306</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t/MWh，</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化石燃料燃烧与</w:t>
      </w:r>
      <w:r>
        <w:rPr>
          <w:rFonts w:ascii="仿宋_GB2312" w:hAnsi="仿宋_GB2312" w:eastAsia="仿宋_GB2312" w:cs="仿宋_GB2312"/>
          <w:i w:val="0"/>
          <w:iCs w:val="0"/>
          <w:caps w:val="0"/>
          <w:color w:val="000000" w:themeColor="text1"/>
          <w:spacing w:val="0"/>
          <w:kern w:val="0"/>
          <w:sz w:val="32"/>
          <w:szCs w:val="32"/>
          <w:shd w:val="clear" w:fill="auto"/>
          <w:lang w:bidi="ar"/>
          <w14:textFill>
            <w14:solidFill>
              <w14:schemeClr w14:val="tx1"/>
            </w14:solidFill>
          </w14:textFill>
        </w:rPr>
        <w:t>热力供应的</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二氧化碳排放系数来源于</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工业其他行业企业—温室气体排放核算方法与报告指南</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间接排放中范围三活动</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二氧化碳排放系数来源于《中国产品全生命周期温室气体排放系数集(2022)》</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，二氧化碳减排测算及参数选择如下：</w:t>
      </w:r>
    </w:p>
    <w:p w14:paraId="3F352B3B">
      <w:pPr>
        <w:pStyle w:val="6"/>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仿宋_GB2312" w:hAnsi="仿宋_GB2312" w:eastAsia="仿宋_GB2312" w:cs="仿宋_GB2312"/>
          <w:color w:val="000000" w:themeColor="text1"/>
          <w:kern w:val="0"/>
          <w:sz w:val="28"/>
          <w:szCs w:val="28"/>
          <w:vertAlign w:val="baseli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bidi="ar"/>
          <w14:textFill>
            <w14:solidFill>
              <w14:schemeClr w14:val="tx1"/>
            </w14:solidFill>
          </w14:textFill>
        </w:rPr>
        <w:t>CO</w:t>
      </w:r>
      <w:r>
        <w:rPr>
          <w:rFonts w:hint="eastAsia" w:ascii="仿宋_GB2312" w:hAnsi="仿宋_GB2312" w:eastAsia="仿宋_GB2312" w:cs="仿宋_GB2312"/>
          <w:color w:val="000000" w:themeColor="text1"/>
          <w:kern w:val="0"/>
          <w:sz w:val="28"/>
          <w:szCs w:val="28"/>
          <w:vertAlign w:val="subscript"/>
          <w:lang w:val="en-US" w:eastAsia="zh-CN" w:bidi="ar"/>
          <w14:textFill>
            <w14:solidFill>
              <w14:schemeClr w14:val="tx1"/>
            </w14:solidFill>
          </w14:textFill>
        </w:rPr>
        <w:t>2</w:t>
      </w:r>
      <w:r>
        <w:rPr>
          <w:rFonts w:hint="eastAsia" w:ascii="仿宋_GB2312" w:hAnsi="仿宋_GB2312" w:eastAsia="仿宋_GB2312" w:cs="仿宋_GB2312"/>
          <w:color w:val="000000" w:themeColor="text1"/>
          <w:kern w:val="0"/>
          <w:sz w:val="28"/>
          <w:szCs w:val="28"/>
          <w:vertAlign w:val="baseline"/>
          <w:lang w:val="en-US" w:eastAsia="zh-CN" w:bidi="ar"/>
          <w14:textFill>
            <w14:solidFill>
              <w14:schemeClr w14:val="tx1"/>
            </w14:solidFill>
          </w14:textFill>
        </w:rPr>
        <w:t>=</w:t>
      </w:r>
      <w:r>
        <w:rPr>
          <w:sz w:val="28"/>
          <w:szCs w:val="28"/>
        </w:rPr>
        <w:drawing>
          <wp:inline distT="0" distB="0" distL="114300" distR="114300">
            <wp:extent cx="590550" cy="318770"/>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tretch>
                      <a:fillRect/>
                    </a:stretch>
                  </pic:blipFill>
                  <pic:spPr>
                    <a:xfrm>
                      <a:off x="0" y="0"/>
                      <a:ext cx="590550" cy="318770"/>
                    </a:xfrm>
                    <a:prstGeom prst="rect">
                      <a:avLst/>
                    </a:prstGeom>
                    <a:noFill/>
                    <a:ln>
                      <a:noFill/>
                    </a:ln>
                  </pic:spPr>
                </pic:pic>
              </a:graphicData>
            </a:graphic>
          </wp:inline>
        </w:drawing>
      </w:r>
    </w:p>
    <w:p w14:paraId="362EC6CF">
      <w:pPr>
        <w:pStyle w:val="6"/>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hAnsi="仿宋_GB2312" w:eastAsia="仿宋_GB2312" w:cs="仿宋_GB2312"/>
          <w:color w:val="000000" w:themeColor="text1"/>
          <w:kern w:val="0"/>
          <w:sz w:val="28"/>
          <w:szCs w:val="2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bidi="ar"/>
          <w14:textFill>
            <w14:solidFill>
              <w14:schemeClr w14:val="tx1"/>
            </w14:solidFill>
          </w14:textFill>
        </w:rPr>
        <w:t>CO</w:t>
      </w:r>
      <w:r>
        <w:rPr>
          <w:rFonts w:hint="eastAsia" w:ascii="仿宋_GB2312" w:hAnsi="仿宋_GB2312" w:eastAsia="仿宋_GB2312" w:cs="仿宋_GB2312"/>
          <w:color w:val="000000" w:themeColor="text1"/>
          <w:kern w:val="0"/>
          <w:sz w:val="28"/>
          <w:szCs w:val="28"/>
          <w:vertAlign w:val="subscript"/>
          <w:lang w:val="en-US" w:eastAsia="zh-CN" w:bidi="ar"/>
          <w14:textFill>
            <w14:solidFill>
              <w14:schemeClr w14:val="tx1"/>
            </w14:solidFill>
          </w14:textFill>
        </w:rPr>
        <w:t>2</w:t>
      </w:r>
      <w:r>
        <w:rPr>
          <w:rFonts w:hint="eastAsia" w:ascii="仿宋_GB2312" w:hAnsi="仿宋_GB2312" w:eastAsia="仿宋_GB2312" w:cs="仿宋_GB2312"/>
          <w:color w:val="000000" w:themeColor="text1"/>
          <w:kern w:val="0"/>
          <w:sz w:val="28"/>
          <w:szCs w:val="28"/>
          <w:lang w:val="en-US" w:eastAsia="zh-CN" w:bidi="ar"/>
          <w14:textFill>
            <w14:solidFill>
              <w14:schemeClr w14:val="tx1"/>
            </w14:solidFill>
          </w14:textFill>
        </w:rPr>
        <w:t xml:space="preserve"> :项目二氧化碳减排量，单位：吨.二氧化碳；</w:t>
      </w:r>
    </w:p>
    <w:p w14:paraId="69AFA124">
      <w:pPr>
        <w:pStyle w:val="6"/>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hAnsi="仿宋_GB2312" w:eastAsia="仿宋_GB2312" w:cs="仿宋_GB2312"/>
          <w:color w:val="000000" w:themeColor="text1"/>
          <w:kern w:val="0"/>
          <w:sz w:val="28"/>
          <w:szCs w:val="2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bidi="ar"/>
          <w14:textFill>
            <w14:solidFill>
              <w14:schemeClr w14:val="tx1"/>
            </w14:solidFill>
          </w14:textFill>
        </w:rPr>
        <w:t>E</w:t>
      </w:r>
      <w:r>
        <w:rPr>
          <w:rFonts w:hint="eastAsia" w:ascii="仿宋_GB2312" w:hAnsi="仿宋_GB2312" w:eastAsia="仿宋_GB2312" w:cs="仿宋_GB2312"/>
          <w:color w:val="000000" w:themeColor="text1"/>
          <w:kern w:val="0"/>
          <w:sz w:val="28"/>
          <w:szCs w:val="28"/>
          <w:vertAlign w:val="subscript"/>
          <w:lang w:val="en-US" w:eastAsia="zh-CN" w:bidi="ar"/>
          <w14:textFill>
            <w14:solidFill>
              <w14:schemeClr w14:val="tx1"/>
            </w14:solidFill>
          </w14:textFill>
        </w:rPr>
        <w:t>i</w:t>
      </w:r>
      <w:r>
        <w:rPr>
          <w:rFonts w:hint="eastAsia" w:ascii="仿宋_GB2312" w:hAnsi="仿宋_GB2312" w:eastAsia="仿宋_GB2312" w:cs="仿宋_GB2312"/>
          <w:color w:val="000000" w:themeColor="text1"/>
          <w:kern w:val="0"/>
          <w:sz w:val="28"/>
          <w:szCs w:val="28"/>
          <w:lang w:val="en-US" w:eastAsia="zh-CN" w:bidi="ar"/>
          <w14:textFill>
            <w14:solidFill>
              <w14:schemeClr w14:val="tx1"/>
            </w14:solidFill>
          </w14:textFill>
        </w:rPr>
        <w:t xml:space="preserve"> ：项目某能源消费品种的实物消耗量，单位：吨（或万千瓦时或立方米等）；</w:t>
      </w:r>
    </w:p>
    <w:p w14:paraId="74637874">
      <w:pPr>
        <w:pStyle w:val="6"/>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hAnsi="仿宋_GB2312" w:eastAsia="仿宋_GB2312" w:cs="仿宋_GB2312"/>
          <w:color w:val="000000" w:themeColor="text1"/>
          <w:kern w:val="0"/>
          <w:sz w:val="28"/>
          <w:szCs w:val="2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bidi="ar"/>
          <w14:textFill>
            <w14:solidFill>
              <w14:schemeClr w14:val="tx1"/>
            </w14:solidFill>
          </w14:textFill>
        </w:rPr>
        <w:t>a</w:t>
      </w:r>
      <w:r>
        <w:rPr>
          <w:rFonts w:hint="eastAsia" w:ascii="仿宋_GB2312" w:hAnsi="仿宋_GB2312" w:eastAsia="仿宋_GB2312" w:cs="仿宋_GB2312"/>
          <w:color w:val="000000" w:themeColor="text1"/>
          <w:kern w:val="0"/>
          <w:sz w:val="28"/>
          <w:szCs w:val="28"/>
          <w:vertAlign w:val="subscript"/>
          <w:lang w:val="en-US" w:eastAsia="zh-CN" w:bidi="ar"/>
          <w14:textFill>
            <w14:solidFill>
              <w14:schemeClr w14:val="tx1"/>
            </w14:solidFill>
          </w14:textFill>
        </w:rPr>
        <w:t>i</w:t>
      </w:r>
      <w:r>
        <w:rPr>
          <w:rFonts w:hint="eastAsia" w:ascii="仿宋_GB2312" w:hAnsi="仿宋_GB2312" w:eastAsia="仿宋_GB2312" w:cs="仿宋_GB2312"/>
          <w:color w:val="000000" w:themeColor="text1"/>
          <w:kern w:val="0"/>
          <w:sz w:val="28"/>
          <w:szCs w:val="28"/>
          <w:lang w:val="en-US" w:eastAsia="zh-CN" w:bidi="ar"/>
          <w14:textFill>
            <w14:solidFill>
              <w14:schemeClr w14:val="tx1"/>
            </w14:solidFill>
          </w14:textFill>
        </w:rPr>
        <w:t xml:space="preserve"> ：项目消费能源品种的二氧化碳排放系数，单位为：千克二氧化碳/千克（或立方米）。</w:t>
      </w:r>
    </w:p>
    <w:p w14:paraId="29EBD5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default" w:ascii="仿宋_GB2312" w:hAnsi="仿宋_GB2312" w:eastAsia="仿宋_GB2312" w:cs="仿宋_GB2312"/>
          <w:i w:val="0"/>
          <w:iCs w:val="0"/>
          <w:caps w:val="0"/>
          <w:color w:val="000000" w:themeColor="text1"/>
          <w:spacing w:val="0"/>
          <w:kern w:val="0"/>
          <w:sz w:val="32"/>
          <w:szCs w:val="32"/>
          <w:shd w:val="clear" w:fill="auto"/>
          <w:lang w:val="en-US" w:eastAsia="zh-CN" w:bidi="ar"/>
          <w14:textFill>
            <w14:solidFill>
              <w14:schemeClr w14:val="tx1"/>
            </w14:solidFill>
          </w14:textFill>
        </w:rPr>
      </w:pPr>
      <w:r>
        <w:rPr>
          <w:rFonts w:hint="eastAsia" w:ascii="仿宋_GB2312" w:hAnsi="仿宋_GB2312" w:eastAsia="仿宋_GB2312" w:cs="仿宋_GB2312"/>
          <w:i w:val="0"/>
          <w:iCs w:val="0"/>
          <w:caps w:val="0"/>
          <w:color w:val="000000" w:themeColor="text1"/>
          <w:spacing w:val="0"/>
          <w:kern w:val="0"/>
          <w:sz w:val="32"/>
          <w:szCs w:val="32"/>
          <w:shd w:val="clear" w:fill="auto"/>
          <w:lang w:val="en-US" w:eastAsia="zh-CN" w:bidi="ar"/>
          <w14:textFill>
            <w14:solidFill>
              <w14:schemeClr w14:val="tx1"/>
            </w14:solidFill>
          </w14:textFill>
        </w:rPr>
        <w:t>范围三温室气体排放核算范围主要为员工差旅、纸张使用、垃圾处理等。</w:t>
      </w:r>
    </w:p>
    <w:p w14:paraId="228C1CED">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420" w:leftChars="0" w:hanging="420" w:firstLineChars="0"/>
        <w:textAlignment w:val="auto"/>
        <w:rPr>
          <w:rFonts w:hint="eastAsia" w:ascii="仿宋_GB2312" w:hAnsi="仿宋_GB2312" w:eastAsia="仿宋_GB2312" w:cs="仿宋_GB2312"/>
          <w:i w:val="0"/>
          <w:iCs w:val="0"/>
          <w:caps w:val="0"/>
          <w:color w:val="000000" w:themeColor="text1"/>
          <w:spacing w:val="0"/>
          <w:kern w:val="0"/>
          <w:sz w:val="32"/>
          <w:szCs w:val="32"/>
          <w:shd w:val="clear" w:fill="auto"/>
          <w:lang w:val="en-US" w:eastAsia="zh-CN" w:bidi="ar"/>
          <w14:textFill>
            <w14:solidFill>
              <w14:schemeClr w14:val="tx1"/>
            </w14:solidFill>
          </w14:textFill>
        </w:rPr>
      </w:pPr>
      <w:r>
        <w:rPr>
          <w:rFonts w:hint="eastAsia" w:ascii="仿宋_GB2312" w:hAnsi="仿宋_GB2312" w:eastAsia="仿宋_GB2312" w:cs="仿宋_GB2312"/>
          <w:i w:val="0"/>
          <w:iCs w:val="0"/>
          <w:caps w:val="0"/>
          <w:color w:val="000000" w:themeColor="text1"/>
          <w:spacing w:val="0"/>
          <w:kern w:val="0"/>
          <w:sz w:val="32"/>
          <w:szCs w:val="32"/>
          <w:shd w:val="clear" w:fill="auto"/>
          <w:lang w:val="en-US" w:eastAsia="zh-CN" w:bidi="ar"/>
          <w14:textFill>
            <w14:solidFill>
              <w14:schemeClr w14:val="tx1"/>
            </w14:solidFill>
          </w14:textFill>
        </w:rPr>
        <w:t>员工差旅乘坐交通工具主要为飞机、高铁、汽车，其温室气体排放计算方法为报告期年度内员工差旅利用的交通工具总里程乘以相应交通工具碳排放因子，碳排放因子取值参考中国温室气体工作组（CCG）公布的《中国产品全生命周期温室气体排放系数集（2022）》中各类型交通工具对应的碳排放因子；</w:t>
      </w:r>
    </w:p>
    <w:p w14:paraId="66788FD4">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420" w:leftChars="0" w:hanging="420" w:firstLineChars="0"/>
        <w:textAlignment w:val="auto"/>
        <w:rPr>
          <w:rFonts w:hint="eastAsia" w:ascii="仿宋_GB2312" w:hAnsi="仿宋_GB2312" w:eastAsia="仿宋_GB2312" w:cs="仿宋_GB2312"/>
          <w:i w:val="0"/>
          <w:iCs w:val="0"/>
          <w:caps w:val="0"/>
          <w:color w:val="000000" w:themeColor="text1"/>
          <w:spacing w:val="0"/>
          <w:kern w:val="0"/>
          <w:sz w:val="32"/>
          <w:szCs w:val="32"/>
          <w:shd w:val="clear" w:fill="auto"/>
          <w:lang w:val="en-US" w:eastAsia="zh-CN" w:bidi="ar"/>
          <w14:textFill>
            <w14:solidFill>
              <w14:schemeClr w14:val="tx1"/>
            </w14:solidFill>
          </w14:textFill>
        </w:rPr>
      </w:pPr>
      <w:r>
        <w:rPr>
          <w:rFonts w:hint="eastAsia" w:ascii="仿宋_GB2312" w:hAnsi="仿宋_GB2312" w:eastAsia="仿宋_GB2312" w:cs="仿宋_GB2312"/>
          <w:i w:val="0"/>
          <w:iCs w:val="0"/>
          <w:caps w:val="0"/>
          <w:color w:val="000000" w:themeColor="text1"/>
          <w:spacing w:val="0"/>
          <w:kern w:val="0"/>
          <w:sz w:val="32"/>
          <w:szCs w:val="32"/>
          <w:shd w:val="clear" w:fill="auto"/>
          <w:lang w:val="en-US" w:eastAsia="zh-CN" w:bidi="ar"/>
          <w14:textFill>
            <w14:solidFill>
              <w14:schemeClr w14:val="tx1"/>
            </w14:solidFill>
          </w14:textFill>
        </w:rPr>
        <w:t>垃圾处理温室气体排放计算方法为报告期内的使用量（或转运量）乘以相应碳排放因子，碳排放因子取值参考中国温室气体工作组（CCG）公布的《中国产品全生命周期温室气体排放系数集（2022）》中各类型活动对应的碳排放因子。</w:t>
      </w:r>
    </w:p>
    <w:p w14:paraId="010D13C1">
      <w:pPr>
        <w:pStyle w:val="2"/>
        <w:rPr>
          <w:rFonts w:hint="eastAsia"/>
          <w:lang w:val="en-US" w:eastAsia="zh-CN"/>
        </w:rPr>
      </w:pPr>
    </w:p>
    <w:p w14:paraId="13683EEE">
      <w:pPr>
        <w:pStyle w:val="3"/>
        <w:pageBreakBefore w:val="0"/>
        <w:numPr>
          <w:ilvl w:val="0"/>
          <w:numId w:val="0"/>
        </w:numPr>
        <w:kinsoku/>
        <w:wordWrap/>
        <w:overflowPunct/>
        <w:topLinePunct w:val="0"/>
        <w:autoSpaceDE/>
        <w:autoSpaceDN/>
        <w:bidi w:val="0"/>
        <w:adjustRightInd/>
        <w:snapToGrid/>
        <w:spacing w:before="157" w:beforeLines="50" w:after="157" w:afterLines="50" w:line="520" w:lineRule="exact"/>
        <w:jc w:val="center"/>
        <w:textAlignment w:val="auto"/>
        <w:rPr>
          <w:rFonts w:hint="default" w:ascii="黑体" w:hAnsi="黑体" w:eastAsia="黑体" w:cs="黑体"/>
          <w:b w:val="0"/>
          <w:bCs w:val="0"/>
          <w:color w:val="000000" w:themeColor="text1"/>
          <w:kern w:val="2"/>
          <w:sz w:val="32"/>
          <w:szCs w:val="22"/>
          <w:highlight w:val="none"/>
          <w:lang w:val="en-US" w:eastAsia="zh-CN" w:bidi="ar-SA"/>
          <w14:textFill>
            <w14:solidFill>
              <w14:schemeClr w14:val="tx1"/>
            </w14:solidFill>
          </w14:textFill>
        </w:rPr>
      </w:pPr>
      <w:r>
        <w:rPr>
          <w:rFonts w:hint="eastAsia" w:ascii="黑体" w:hAnsi="黑体" w:eastAsia="黑体" w:cs="黑体"/>
          <w:b w:val="0"/>
          <w:color w:val="000000" w:themeColor="text1"/>
          <w:kern w:val="2"/>
          <w:sz w:val="32"/>
          <w:szCs w:val="22"/>
          <w:highlight w:val="none"/>
          <w:lang w:val="en-US" w:eastAsia="zh-CN" w:bidi="ar-SA"/>
          <w14:textFill>
            <w14:solidFill>
              <w14:schemeClr w14:val="tx1"/>
            </w14:solidFill>
          </w14:textFill>
        </w:rPr>
        <w:t xml:space="preserve">第九部分 </w:t>
      </w:r>
      <w:r>
        <w:rPr>
          <w:rFonts w:hint="eastAsia" w:ascii="黑体" w:hAnsi="黑体" w:eastAsia="黑体" w:cs="黑体"/>
          <w:b w:val="0"/>
          <w:bCs w:val="0"/>
          <w:color w:val="000000" w:themeColor="text1"/>
          <w:kern w:val="2"/>
          <w:sz w:val="32"/>
          <w:szCs w:val="22"/>
          <w:highlight w:val="none"/>
          <w:lang w:val="en-US" w:eastAsia="zh-CN" w:bidi="ar-SA"/>
          <w14:textFill>
            <w14:solidFill>
              <w14:schemeClr w14:val="tx1"/>
            </w14:solidFill>
          </w14:textFill>
        </w:rPr>
        <w:t>本行</w:t>
      </w:r>
      <w:r>
        <w:rPr>
          <w:rFonts w:hint="default" w:ascii="黑体" w:hAnsi="黑体" w:eastAsia="黑体" w:cs="黑体"/>
          <w:b w:val="0"/>
          <w:bCs w:val="0"/>
          <w:color w:val="000000" w:themeColor="text1"/>
          <w:kern w:val="2"/>
          <w:sz w:val="32"/>
          <w:szCs w:val="22"/>
          <w:highlight w:val="none"/>
          <w:lang w:val="en-US" w:eastAsia="zh-CN" w:bidi="ar-SA"/>
          <w14:textFill>
            <w14:solidFill>
              <w14:schemeClr w14:val="tx1"/>
            </w14:solidFill>
          </w14:textFill>
        </w:rPr>
        <w:t>环保措施所产生的环境效益</w:t>
      </w:r>
    </w:p>
    <w:p w14:paraId="3F9F15B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（一）宣传推广方面。</w:t>
      </w:r>
      <w:r>
        <w:rPr>
          <w:rFonts w:hint="default" w:ascii="仿宋_GB2312" w:hAnsi="仿宋_GB2312" w:eastAsia="仿宋_GB2312" w:cs="仿宋_GB2312"/>
          <w:sz w:val="32"/>
          <w:szCs w:val="32"/>
          <w:lang w:val="en-US" w:eastAsia="zh-CN"/>
        </w:rPr>
        <w:t>本行依托官方网站、微信公众号、视频号、网点电视、厅堂微沙龙、宣传折页等线上线下多元渠道，结合金融知识普及、企业大走访等主题活动，广泛开展绿色金融政策解读、典型案例宣传和工作成效展示，持续扩大绿色金融社会影响力，引导社会公众自觉践行绿色发展理念，积极营造支持本行绿色金融发展的良好氛围。</w:t>
      </w:r>
    </w:p>
    <w:p w14:paraId="6C00F7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（二）制度建设方面。 </w:t>
      </w:r>
      <w:r>
        <w:rPr>
          <w:rFonts w:hint="default" w:ascii="仿宋_GB2312" w:hAnsi="仿宋_GB2312" w:eastAsia="仿宋_GB2312" w:cs="仿宋_GB2312"/>
          <w:sz w:val="32"/>
          <w:szCs w:val="32"/>
          <w:lang w:val="en-US" w:eastAsia="zh-CN"/>
        </w:rPr>
        <w:t>本行认真贯彻国家法律法规和产业结构调整政策，持续健全适应绿色信贷业务特点的信用评级、信贷流程和风险控制等制度体系，不断优化绿色信贷利率定价、内部信用评价、业务审批和激励约束机制。将绿色金融纳入全行绩效考核框架，将绿色信贷完成情况作为各机构经营目标管理的重要考核指标，有效调动各方面资源向绿色领域倾斜，促进绿色信贷业务提质上量。</w:t>
      </w:r>
    </w:p>
    <w:p w14:paraId="0BAFACA0">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kern w:val="2"/>
          <w:sz w:val="32"/>
          <w:lang w:eastAsia="zh-CN"/>
        </w:rPr>
      </w:pPr>
      <w:r>
        <w:rPr>
          <w:rFonts w:hint="eastAsia" w:ascii="仿宋_GB2312" w:hAnsi="仿宋_GB2312" w:eastAsia="仿宋_GB2312" w:cs="仿宋_GB2312"/>
          <w:sz w:val="32"/>
          <w:szCs w:val="32"/>
          <w:lang w:val="en-US" w:eastAsia="zh-CN"/>
        </w:rPr>
        <w:t>（三）职工能力建设方面。</w:t>
      </w:r>
      <w:bookmarkStart w:id="34" w:name="_Toc6961"/>
      <w:bookmarkStart w:id="35" w:name="_Toc16128"/>
      <w:r>
        <w:rPr>
          <w:rFonts w:hint="eastAsia" w:ascii="仿宋_GB2312" w:hAnsi="仿宋_GB2312" w:eastAsia="仿宋_GB2312" w:cs="仿宋_GB2312"/>
          <w:kern w:val="2"/>
          <w:sz w:val="32"/>
          <w:lang w:eastAsia="zh-CN"/>
        </w:rPr>
        <w:t>本行将绿色环保理念融入日常运营，倡导绿色办公，强化员工环保意识。依托智能网点升级，加快金融科技应用，提升信息化、集约化管理水平。持续优化线上办公系统，自主开发多套内部管理平台，积极推进无纸化办公。大力推广线上信贷业务，提升服务效率。同时建立绿色金融培训机制，定期开展专题培训，严把绿色金融业务准入关口。</w:t>
      </w:r>
    </w:p>
    <w:p w14:paraId="460C518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kern w:val="2"/>
          <w:sz w:val="32"/>
          <w:lang w:eastAsia="zh-CN"/>
        </w:rPr>
      </w:pPr>
    </w:p>
    <w:p w14:paraId="4B6581D4">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1920" w:firstLineChars="600"/>
        <w:jc w:val="both"/>
        <w:textAlignment w:val="auto"/>
        <w:rPr>
          <w:rFonts w:hint="default" w:ascii="黑体" w:hAnsi="黑体" w:eastAsia="黑体" w:cs="黑体"/>
          <w:b w:val="0"/>
          <w:color w:val="000000" w:themeColor="text1"/>
          <w:kern w:val="2"/>
          <w:sz w:val="32"/>
          <w:szCs w:val="22"/>
          <w:highlight w:val="none"/>
          <w:lang w:val="en-US" w:eastAsia="zh-CN" w:bidi="ar-SA"/>
          <w14:textFill>
            <w14:solidFill>
              <w14:schemeClr w14:val="tx1"/>
            </w14:solidFill>
          </w14:textFill>
        </w:rPr>
      </w:pPr>
      <w:r>
        <w:rPr>
          <w:rFonts w:hint="eastAsia" w:ascii="黑体" w:hAnsi="黑体" w:eastAsia="黑体" w:cs="黑体"/>
          <w:b w:val="0"/>
          <w:color w:val="000000" w:themeColor="text1"/>
          <w:kern w:val="2"/>
          <w:sz w:val="32"/>
          <w:szCs w:val="22"/>
          <w:highlight w:val="none"/>
          <w:lang w:val="en-US" w:eastAsia="zh-CN" w:bidi="ar-SA"/>
          <w14:textFill>
            <w14:solidFill>
              <w14:schemeClr w14:val="tx1"/>
            </w14:solidFill>
          </w14:textFill>
        </w:rPr>
        <w:t xml:space="preserve">第十部分 </w:t>
      </w:r>
      <w:r>
        <w:rPr>
          <w:rFonts w:hint="default" w:ascii="黑体" w:hAnsi="黑体" w:eastAsia="黑体" w:cs="黑体"/>
          <w:b w:val="0"/>
          <w:color w:val="000000" w:themeColor="text1"/>
          <w:kern w:val="2"/>
          <w:sz w:val="32"/>
          <w:szCs w:val="22"/>
          <w:highlight w:val="none"/>
          <w:lang w:val="en-US" w:eastAsia="zh-CN" w:bidi="ar-SA"/>
          <w14:textFill>
            <w14:solidFill>
              <w14:schemeClr w14:val="tx1"/>
            </w14:solidFill>
          </w14:textFill>
        </w:rPr>
        <w:t>数据梳理、校验及保护</w:t>
      </w:r>
      <w:bookmarkEnd w:id="34"/>
      <w:bookmarkEnd w:id="35"/>
    </w:p>
    <w:p w14:paraId="50CA238F">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rPr>
          <w:rFonts w:hint="eastAsia" w:ascii="仿宋_GB2312" w:hAnsi="仿宋_GB2312" w:eastAsia="仿宋_GB2312" w:cs="仿宋_GB2312"/>
          <w:b w:val="0"/>
          <w:kern w:val="2"/>
          <w:sz w:val="32"/>
          <w:szCs w:val="22"/>
          <w:lang w:val="en-US" w:eastAsia="zh-CN" w:bidi="ar"/>
        </w:rPr>
      </w:pPr>
      <w:r>
        <w:rPr>
          <w:rFonts w:hint="eastAsia" w:ascii="仿宋_GB2312" w:hAnsi="仿宋_GB2312" w:eastAsia="仿宋_GB2312" w:cs="仿宋_GB2312"/>
          <w:b w:val="0"/>
          <w:kern w:val="2"/>
          <w:sz w:val="32"/>
          <w:szCs w:val="22"/>
          <w:lang w:val="en-US" w:eastAsia="zh-CN" w:bidi="ar"/>
        </w:rPr>
        <w:t>为切实保障生产数据安全，规范生产数据采集、备份、抽检、恢复、保管、使用、清理与销毁等行为，本行采取对于重要业务系统如核心系统、信贷系统等各类生产应用，包括手机银行、网上银行等渠道系统均由省农商联合银行统一建设和维护的管理方法。</w:t>
      </w:r>
    </w:p>
    <w:p w14:paraId="0626964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rPr>
          <w:rFonts w:hint="eastAsia" w:ascii="仿宋_GB2312" w:hAnsi="仿宋_GB2312" w:eastAsia="仿宋_GB2312" w:cs="仿宋_GB2312"/>
          <w:b w:val="0"/>
          <w:kern w:val="2"/>
          <w:sz w:val="32"/>
          <w:szCs w:val="22"/>
          <w:lang w:val="en-US" w:eastAsia="zh-CN" w:bidi="ar"/>
        </w:rPr>
      </w:pPr>
      <w:r>
        <w:rPr>
          <w:rFonts w:hint="eastAsia" w:ascii="仿宋_GB2312" w:hAnsi="仿宋_GB2312" w:eastAsia="仿宋_GB2312" w:cs="仿宋_GB2312"/>
          <w:b w:val="0"/>
          <w:kern w:val="2"/>
          <w:sz w:val="32"/>
          <w:szCs w:val="22"/>
          <w:lang w:val="en-US" w:eastAsia="zh-CN" w:bidi="ar"/>
        </w:rPr>
        <w:t>为强化计算机系统信息安全管理，保障银行计算机网络与信息系统安全和稳定运行，本行将信息安全管理工作作为日常重点工作，对外数据做好脱敏处理，防范计算机信息技术风险。同时，本行配置专职系统运维人员对各系统用户权限进行配置管理，并根据省农商联合银行数据管理要求，进一步规范数据信息的安全保障、管理及运维，明确员工准则以防信息泄露、统筹规划业务数据访问权限、制定备份及恢复数据策略。</w:t>
      </w:r>
    </w:p>
    <w:p w14:paraId="6996819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kern w:val="2"/>
          <w:sz w:val="32"/>
          <w:szCs w:val="22"/>
          <w:lang w:val="en-US" w:eastAsia="zh-CN" w:bidi="ar"/>
        </w:rPr>
      </w:pPr>
      <w:r>
        <w:rPr>
          <w:rFonts w:hint="eastAsia" w:ascii="仿宋_GB2312" w:hAnsi="仿宋_GB2312" w:eastAsia="仿宋_GB2312" w:cs="仿宋_GB2312"/>
          <w:b w:val="0"/>
          <w:kern w:val="2"/>
          <w:sz w:val="32"/>
          <w:szCs w:val="22"/>
          <w:lang w:val="en-US" w:eastAsia="zh-CN" w:bidi="ar"/>
        </w:rPr>
        <w:t>同时，在日常的数据查询过程中建立审批制度及流程，对于查询数据的访问，设置控制措施以确保非业务相关人员接触本行机密数据防止机密数据外泄，测试环境需要使用生产数据时也需对客户敏感信息进行脱敏处理。此外，针对业务系统变更等需要修改业务数据方面，本行规定须由需求提出部门发起数据修改流程，科技部根据流程需求做好数据修改等工作，在数据修改前务必做好原始数据备份工作，以备数据恢复需求。</w:t>
      </w:r>
    </w:p>
    <w:p w14:paraId="6FC3560A">
      <w:pPr>
        <w:pStyle w:val="2"/>
        <w:rPr>
          <w:rFonts w:hint="default"/>
          <w:lang w:val="en-US" w:eastAsia="zh-CN"/>
        </w:rPr>
      </w:pPr>
    </w:p>
    <w:p w14:paraId="6167B3EC">
      <w:pPr>
        <w:pStyle w:val="3"/>
        <w:pageBreakBefore w:val="0"/>
        <w:numPr>
          <w:ilvl w:val="0"/>
          <w:numId w:val="0"/>
        </w:numPr>
        <w:kinsoku/>
        <w:wordWrap/>
        <w:overflowPunct/>
        <w:topLinePunct w:val="0"/>
        <w:autoSpaceDE/>
        <w:autoSpaceDN/>
        <w:bidi w:val="0"/>
        <w:adjustRightInd/>
        <w:snapToGrid/>
        <w:spacing w:before="157" w:beforeLines="50" w:after="157" w:afterLines="50" w:line="520" w:lineRule="exact"/>
        <w:jc w:val="center"/>
        <w:textAlignment w:val="auto"/>
        <w:rPr>
          <w:rFonts w:hint="eastAsia" w:ascii="黑体" w:hAnsi="黑体" w:eastAsia="黑体" w:cs="黑体"/>
          <w:b w:val="0"/>
          <w:color w:val="000000" w:themeColor="text1"/>
          <w:kern w:val="2"/>
          <w:sz w:val="32"/>
          <w:szCs w:val="22"/>
          <w:highlight w:val="none"/>
          <w:lang w:val="en-US" w:eastAsia="zh-CN" w:bidi="ar-SA"/>
          <w14:textFill>
            <w14:solidFill>
              <w14:schemeClr w14:val="tx1"/>
            </w14:solidFill>
          </w14:textFill>
        </w:rPr>
      </w:pPr>
      <w:bookmarkStart w:id="36" w:name="_Toc23853"/>
      <w:bookmarkStart w:id="37" w:name="_Toc5216"/>
      <w:r>
        <w:rPr>
          <w:rFonts w:hint="eastAsia" w:ascii="黑体" w:hAnsi="黑体" w:eastAsia="黑体" w:cs="黑体"/>
          <w:b w:val="0"/>
          <w:color w:val="000000" w:themeColor="text1"/>
          <w:kern w:val="2"/>
          <w:sz w:val="32"/>
          <w:szCs w:val="22"/>
          <w:highlight w:val="none"/>
          <w:lang w:val="en-US" w:eastAsia="zh-CN" w:bidi="ar-SA"/>
          <w14:textFill>
            <w14:solidFill>
              <w14:schemeClr w14:val="tx1"/>
            </w14:solidFill>
          </w14:textFill>
        </w:rPr>
        <w:t xml:space="preserve">第十一部分 </w:t>
      </w:r>
      <w:r>
        <w:rPr>
          <w:rFonts w:hint="default" w:ascii="黑体" w:hAnsi="黑体" w:eastAsia="黑体" w:cs="黑体"/>
          <w:b w:val="0"/>
          <w:color w:val="000000" w:themeColor="text1"/>
          <w:kern w:val="2"/>
          <w:sz w:val="32"/>
          <w:szCs w:val="22"/>
          <w:highlight w:val="none"/>
          <w:lang w:val="en-US" w:eastAsia="zh-CN" w:bidi="ar-SA"/>
          <w14:textFill>
            <w14:solidFill>
              <w14:schemeClr w14:val="tx1"/>
            </w14:solidFill>
          </w14:textFill>
        </w:rPr>
        <w:t>绿色金融创新及研究成果</w:t>
      </w:r>
      <w:bookmarkEnd w:id="36"/>
      <w:bookmarkEnd w:id="37"/>
    </w:p>
    <w:p w14:paraId="294082F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kern w:val="2"/>
          <w:sz w:val="32"/>
          <w:szCs w:val="22"/>
          <w:lang w:val="en-US" w:eastAsia="zh-CN" w:bidi="ar"/>
        </w:rPr>
      </w:pPr>
      <w:r>
        <w:rPr>
          <w:rFonts w:hint="default" w:ascii="仿宋_GB2312" w:hAnsi="仿宋_GB2312" w:eastAsia="仿宋_GB2312" w:cs="仿宋_GB2312"/>
          <w:b w:val="0"/>
          <w:kern w:val="2"/>
          <w:sz w:val="32"/>
          <w:szCs w:val="22"/>
          <w:lang w:val="en-US" w:eastAsia="zh-CN" w:bidi="ar"/>
        </w:rPr>
        <w:t>为实现节能减排与碳中和目标，本行持续推动金融科技与绿色生态发展深度融合，依托大数据及省级平台资源，积极探索全流程线上化贷款模式，大力推广手机银行自助办理业务，全面应用省农商联合银行展业平台，推出“面对面”实时出额产品“苏信贷”，有效减少业务办理过程中的碳排放。</w:t>
      </w:r>
    </w:p>
    <w:p w14:paraId="4543634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b w:val="0"/>
          <w:kern w:val="2"/>
          <w:sz w:val="32"/>
          <w:szCs w:val="22"/>
          <w:lang w:val="en-US" w:eastAsia="zh-CN" w:bidi="ar"/>
        </w:rPr>
      </w:pPr>
      <w:r>
        <w:rPr>
          <w:rFonts w:hint="default" w:ascii="仿宋_GB2312" w:hAnsi="仿宋_GB2312" w:eastAsia="仿宋_GB2312" w:cs="仿宋_GB2312"/>
          <w:b w:val="0"/>
          <w:kern w:val="2"/>
          <w:sz w:val="32"/>
          <w:szCs w:val="22"/>
          <w:lang w:val="en-US" w:eastAsia="zh-CN" w:bidi="ar"/>
        </w:rPr>
        <w:t>本行积极践行绿色发展理念，持续拓展绿色金融业务，不断丰富绿色低碳产品与服务供给，助力节能降碳与绿色发展。本行以“5·15盐城消费季”为契机，深入贯彻落实《国家金融监督管理总局关于发展消费金融助力提振消费的通知》及《盐城市银行业保险业支持养老金融高质量发展三年行动方案（2025-2027年）》要求，聚焦汽车、房产、餐饮、家具等传统消费领域，以银发经济为核心突破点，创新“金融+消费+适老”融合模式，推动消费品以旧换新与养老消费需求释放，助力打造“政策引导、机构联动、场景创新”的消费金融生态。在绿色金融领域，本行积极探索将绿色低碳理念融入消费金融产品设计，引导居民选择节能环保型消费品，促进绿色消费与提振消费协同推进，为盐城经济高质量发展贡献金融力量。</w:t>
      </w:r>
    </w:p>
    <w:p w14:paraId="087FC6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kern w:val="2"/>
          <w:sz w:val="32"/>
          <w:szCs w:val="22"/>
          <w:lang w:val="en-US" w:eastAsia="zh-CN" w:bidi="ar"/>
        </w:rPr>
      </w:pPr>
    </w:p>
    <w:p w14:paraId="6C5E19D7">
      <w:pPr>
        <w:numPr>
          <w:ilvl w:val="0"/>
          <w:numId w:val="0"/>
        </w:numPr>
        <w:rPr>
          <w:rFonts w:hint="default"/>
          <w:lang w:val="en-US" w:eastAsia="zh-CN"/>
        </w:rPr>
      </w:pP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3000509000000000000"/>
    <w:charset w:val="86"/>
    <w:family w:val="auto"/>
    <w:pitch w:val="default"/>
    <w:sig w:usb0="00000000" w:usb1="00000000" w:usb2="00000000" w:usb3="00000000" w:csb0="00040000" w:csb1="00000000"/>
  </w:font>
  <w:font w:name="方正黑体_GBK">
    <w:altName w:val="Arial Unicode MS"/>
    <w:panose1 w:val="02000000000000000000"/>
    <w:charset w:val="86"/>
    <w:family w:val="auto"/>
    <w:pitch w:val="default"/>
    <w:sig w:usb0="00000000" w:usb1="00000000"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altName w:val="Arial Unicode MS"/>
    <w:panose1 w:val="02000000000000000000"/>
    <w:charset w:val="86"/>
    <w:family w:val="auto"/>
    <w:pitch w:val="default"/>
    <w:sig w:usb0="00000000" w:usb1="00000000" w:usb2="00082016" w:usb3="00000000" w:csb0="00040001" w:csb1="00000000"/>
  </w:font>
  <w:font w:name="方正小标宋简体">
    <w:altName w:val="Arial Unicode MS"/>
    <w:panose1 w:val="02000000000000000000"/>
    <w:charset w:val="86"/>
    <w:family w:val="auto"/>
    <w:pitch w:val="default"/>
    <w:sig w:usb0="00000000" w:usb1="00000000" w:usb2="00000012" w:usb3="00000000" w:csb0="00040001" w:csb1="00000000"/>
  </w:font>
  <w:font w:name="华文楷体">
    <w:panose1 w:val="02010600040101010101"/>
    <w:charset w:val="86"/>
    <w:family w:val="auto"/>
    <w:pitch w:val="default"/>
    <w:sig w:usb0="00000287" w:usb1="080F0000" w:usb2="00000000" w:usb3="00000000" w:csb0="0004009F" w:csb1="DFD70000"/>
  </w:font>
  <w:font w:name="Cambria Math">
    <w:panose1 w:val="02040503050406030204"/>
    <w:charset w:val="00"/>
    <w:family w:val="auto"/>
    <w:pitch w:val="default"/>
    <w:sig w:usb0="E00006FF" w:usb1="420024FF" w:usb2="02000000" w:usb3="00000000" w:csb0="2000019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12EBB">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69265" cy="2159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469265" cy="215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A7AE76">
                          <w:pPr>
                            <w:pStyle w:val="9"/>
                            <w:rPr>
                              <w:rFonts w:hint="default" w:ascii="Times New Roman" w:hAnsi="Times New Roman" w:cs="Times New Roman"/>
                              <w:sz w:val="20"/>
                              <w:szCs w:val="24"/>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7pt;width:36.95pt;mso-position-horizontal:center;mso-position-horizontal-relative:margin;z-index:251659264;mso-width-relative:page;mso-height-relative:page;" filled="f" stroked="f" coordsize="21600,21600" o:gfxdata="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HIlhjDTAAAAAwEAAA8AAAAAAAAAAQAgAAAAIgAAAGRycy9kb3ducmV2Lnht&#10;bFBLAQIUABQAAAAIAIdO4kATAhhZNwIAAGEEAAAOAAAAAAAAAAEAIAAAACIBAABkcnMvZTJvRG9j&#10;LnhtbFBLBQYAAAAABgAGAFkBAADLBQAAAAA=&#10;">
              <v:fill on="f" focussize="0,0"/>
              <v:stroke on="f" weight="0.5pt"/>
              <v:imagedata o:title=""/>
              <o:lock v:ext="edit" aspectratio="f"/>
              <v:textbox inset="0mm,0mm,0mm,0mm">
                <w:txbxContent>
                  <w:p w14:paraId="57A7AE76">
                    <w:pPr>
                      <w:pStyle w:val="9"/>
                      <w:rPr>
                        <w:rFonts w:hint="default" w:ascii="Times New Roman" w:hAnsi="Times New Roman" w:cs="Times New Roman"/>
                        <w:sz w:val="20"/>
                        <w:szCs w:val="24"/>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A28F5">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EB88C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4EB88C3">
                    <w:pPr>
                      <w:pStyle w:val="9"/>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469265" cy="2159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469265" cy="215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B64B1A">
                          <w:pPr>
                            <w:pStyle w:val="9"/>
                            <w:rPr>
                              <w:rFonts w:hint="default" w:ascii="Times New Roman" w:hAnsi="Times New Roman" w:cs="Times New Roman"/>
                              <w:sz w:val="20"/>
                              <w:szCs w:val="24"/>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7pt;width:36.95pt;mso-position-horizontal:center;mso-position-horizontal-relative:margin;z-index:251660288;mso-width-relative:page;mso-height-relative:page;" filled="f" stroked="f" coordsize="21600,21600" o:gfxdata="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HIlhjDTAAAAAwEAAA8AAAAAAAAAAQAgAAAAIgAAAGRycy9kb3ducmV2Lnht&#10;bFBLAQIUABQAAAAIAIdO4kBIDvP8NwIAAGEEAAAOAAAAAAAAAAEAIAAAACIBAABkcnMvZTJvRG9j&#10;LnhtbFBLBQYAAAAABgAGAFkBAADLBQAAAAA=&#10;">
              <v:fill on="f" focussize="0,0"/>
              <v:stroke on="f" weight="0.5pt"/>
              <v:imagedata o:title=""/>
              <o:lock v:ext="edit" aspectratio="f"/>
              <v:textbox inset="0mm,0mm,0mm,0mm">
                <w:txbxContent>
                  <w:p w14:paraId="08B64B1A">
                    <w:pPr>
                      <w:pStyle w:val="9"/>
                      <w:rPr>
                        <w:rFonts w:hint="default" w:ascii="Times New Roman" w:hAnsi="Times New Roman" w:cs="Times New Roman"/>
                        <w:sz w:val="20"/>
                        <w:szCs w:val="24"/>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360" w:lineRule="auto"/>
        <w:ind w:firstLine="640"/>
      </w:pPr>
      <w:r>
        <w:separator/>
      </w:r>
    </w:p>
  </w:footnote>
  <w:footnote w:type="continuationSeparator" w:id="3">
    <w:p>
      <w:pPr>
        <w:spacing w:line="360" w:lineRule="auto"/>
        <w:ind w:firstLine="640"/>
      </w:pPr>
      <w:r>
        <w:continuationSeparator/>
      </w:r>
    </w:p>
  </w:footnote>
  <w:footnote w:id="0">
    <w:p w14:paraId="2C172674">
      <w:pPr>
        <w:pStyle w:val="12"/>
        <w:snapToGrid w:val="0"/>
        <w:ind w:left="0" w:leftChars="0" w:firstLine="0" w:firstLineChars="0"/>
        <w:rPr>
          <w:rFonts w:hint="eastAsia"/>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93795">
    <w:pPr>
      <w:pStyle w:val="10"/>
      <w:ind w:left="0" w:leftChars="0" w:firstLine="0" w:firstLineChars="0"/>
      <w:jc w:val="center"/>
      <w:rPr>
        <w:rFonts w:hint="eastAsia" w:ascii="宋体" w:hAnsi="宋体" w:eastAsia="宋体" w:cs="宋体"/>
        <w:sz w:val="22"/>
        <w:szCs w:val="32"/>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91C75">
    <w:pPr>
      <w:pStyle w:val="10"/>
      <w:ind w:left="0" w:leftChars="0" w:firstLine="0" w:firstLineChars="0"/>
      <w:jc w:val="center"/>
      <w:rPr>
        <w:rFonts w:hint="eastAsia" w:ascii="宋体" w:hAnsi="宋体" w:eastAsia="宋体" w:cs="宋体"/>
        <w:sz w:val="22"/>
        <w:szCs w:val="32"/>
        <w:lang w:val="en-US" w:eastAsia="zh-CN"/>
      </w:rPr>
    </w:pPr>
    <w:r>
      <w:rPr>
        <w:rFonts w:hint="eastAsia" w:ascii="宋体" w:hAnsi="宋体" w:eastAsia="宋体" w:cs="宋体"/>
        <w:sz w:val="22"/>
        <w:szCs w:val="32"/>
        <w:lang w:val="en-US" w:eastAsia="zh-CN"/>
      </w:rPr>
      <w:t>江苏盐城农村商业银行股份有限公司</w:t>
    </w:r>
    <w:r>
      <w:rPr>
        <w:rFonts w:ascii="宋体" w:hAnsi="宋体" w:eastAsia="宋体" w:cs="宋体"/>
        <w:sz w:val="22"/>
        <w:u w:color="auto"/>
      </w:rPr>
      <w:t>环境信息披露报告（202</w:t>
    </w:r>
    <w:r>
      <w:rPr>
        <w:rFonts w:hint="eastAsia" w:ascii="宋体" w:hAnsi="宋体" w:eastAsia="宋体" w:cs="宋体"/>
        <w:sz w:val="22"/>
        <w:u w:color="auto"/>
        <w:lang w:val="en-US" w:eastAsia="zh-CN"/>
      </w:rPr>
      <w:t>5</w:t>
    </w:r>
    <w:r>
      <w:rPr>
        <w:rFonts w:ascii="宋体" w:hAnsi="宋体" w:eastAsia="宋体" w:cs="宋体"/>
        <w:sz w:val="22"/>
        <w:u w:color="auto"/>
      </w:rPr>
      <w:t>年度）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F9BB87"/>
    <w:multiLevelType w:val="singleLevel"/>
    <w:tmpl w:val="9EF9BB87"/>
    <w:lvl w:ilvl="0" w:tentative="0">
      <w:start w:val="2"/>
      <w:numFmt w:val="chineseCounting"/>
      <w:suff w:val="nothing"/>
      <w:lvlText w:val="%1、"/>
      <w:lvlJc w:val="left"/>
      <w:rPr>
        <w:rFonts w:hint="eastAsia"/>
      </w:rPr>
    </w:lvl>
  </w:abstractNum>
  <w:abstractNum w:abstractNumId="1">
    <w:nsid w:val="9F12A486"/>
    <w:multiLevelType w:val="singleLevel"/>
    <w:tmpl w:val="9F12A486"/>
    <w:lvl w:ilvl="0" w:tentative="0">
      <w:start w:val="1"/>
      <w:numFmt w:val="bullet"/>
      <w:lvlText w:val=""/>
      <w:lvlJc w:val="left"/>
      <w:pPr>
        <w:ind w:left="420" w:hanging="420"/>
      </w:pPr>
      <w:rPr>
        <w:rFonts w:hint="default" w:ascii="Wingdings" w:hAnsi="Wingdings"/>
      </w:rPr>
    </w:lvl>
  </w:abstractNum>
  <w:abstractNum w:abstractNumId="2">
    <w:nsid w:val="A403A16C"/>
    <w:multiLevelType w:val="singleLevel"/>
    <w:tmpl w:val="A403A16C"/>
    <w:lvl w:ilvl="0" w:tentative="0">
      <w:start w:val="1"/>
      <w:numFmt w:val="bullet"/>
      <w:lvlText w:val=""/>
      <w:lvlJc w:val="left"/>
      <w:pPr>
        <w:ind w:left="420" w:hanging="420"/>
      </w:pPr>
      <w:rPr>
        <w:rFonts w:hint="default" w:ascii="Wingdings" w:hAnsi="Wingdings"/>
      </w:rPr>
    </w:lvl>
  </w:abstractNum>
  <w:abstractNum w:abstractNumId="3">
    <w:nsid w:val="E12E1CA4"/>
    <w:multiLevelType w:val="singleLevel"/>
    <w:tmpl w:val="E12E1CA4"/>
    <w:lvl w:ilvl="0" w:tentative="0">
      <w:start w:val="1"/>
      <w:numFmt w:val="decimal"/>
      <w:pStyle w:val="21"/>
      <w:suff w:val="nothing"/>
      <w:lvlText w:val="%1）"/>
      <w:lvlJc w:val="left"/>
    </w:lvl>
  </w:abstractNum>
  <w:abstractNum w:abstractNumId="4">
    <w:nsid w:val="0E245EE9"/>
    <w:multiLevelType w:val="multilevel"/>
    <w:tmpl w:val="0E245EE9"/>
    <w:lvl w:ilvl="0" w:tentative="0">
      <w:start w:val="1"/>
      <w:numFmt w:val="chineseCounting"/>
      <w:pStyle w:val="3"/>
      <w:lvlText w:val="%1、"/>
      <w:lvlJc w:val="left"/>
      <w:pPr>
        <w:ind w:left="432" w:hanging="432"/>
      </w:pPr>
      <w:rPr>
        <w:rFonts w:hint="eastAsia" w:ascii="黑体" w:hAnsi="黑体" w:eastAsia="黑体" w:cs="黑体"/>
        <w:b/>
        <w:bCs/>
        <w:sz w:val="32"/>
        <w:szCs w:val="32"/>
      </w:rPr>
    </w:lvl>
    <w:lvl w:ilvl="1" w:tentative="0">
      <w:start w:val="1"/>
      <w:numFmt w:val="decimal"/>
      <w:lvlText w:val="%1.%2"/>
      <w:lvlJc w:val="left"/>
      <w:pPr>
        <w:ind w:left="575" w:hanging="575"/>
      </w:pPr>
      <w:rPr>
        <w:rFonts w:hint="eastAsia" w:ascii="Times New Roman" w:hAnsi="Times New Roman" w:eastAsia="宋体" w:cs="Times New Roman"/>
        <w:b/>
      </w:rPr>
    </w:lvl>
    <w:lvl w:ilvl="2" w:tentative="0">
      <w:start w:val="1"/>
      <w:numFmt w:val="decimal"/>
      <w:lvlText w:val="%1.%2.%3"/>
      <w:lvlJc w:val="left"/>
      <w:pPr>
        <w:ind w:left="720" w:hanging="720"/>
      </w:pPr>
      <w:rPr>
        <w:rFonts w:hint="eastAsia" w:ascii="Times New Roman" w:hAnsi="Times New Roman" w:eastAsia="宋体" w:cs="Times New Roman"/>
        <w:b/>
      </w:rPr>
    </w:lvl>
    <w:lvl w:ilvl="3" w:tentative="0">
      <w:start w:val="1"/>
      <w:numFmt w:val="decimal"/>
      <w:lvlText w:val="%1.%2.%3.%4"/>
      <w:lvlJc w:val="left"/>
      <w:pPr>
        <w:ind w:left="864" w:hanging="864"/>
      </w:pPr>
      <w:rPr>
        <w:rFonts w:hint="eastAsia" w:ascii="Times New Roman" w:hAnsi="Times New Roman" w:eastAsia="宋体" w:cs="Times New Roman"/>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1" w:hanging="1151"/>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3" w:hanging="1583"/>
      </w:pPr>
      <w:rPr>
        <w:rFonts w:hint="eastAsia"/>
      </w:rPr>
    </w:lvl>
  </w:abstractNum>
  <w:abstractNum w:abstractNumId="5">
    <w:nsid w:val="21421722"/>
    <w:multiLevelType w:val="singleLevel"/>
    <w:tmpl w:val="21421722"/>
    <w:lvl w:ilvl="0" w:tentative="0">
      <w:start w:val="1"/>
      <w:numFmt w:val="decimal"/>
      <w:pStyle w:val="23"/>
      <w:lvlText w:val="表%1"/>
      <w:lvlJc w:val="left"/>
      <w:pPr>
        <w:tabs>
          <w:tab w:val="left" w:pos="420"/>
        </w:tabs>
        <w:ind w:left="0" w:leftChars="0" w:firstLine="0" w:firstLineChars="0"/>
      </w:pPr>
      <w:rPr>
        <w:rFonts w:hint="default" w:ascii="黑体" w:hAnsi="黑体" w:eastAsia="黑体" w:cs="黑体"/>
        <w:b w:val="0"/>
        <w:bCs w:val="0"/>
        <w:sz w:val="24"/>
        <w:szCs w:val="24"/>
      </w:rPr>
    </w:lvl>
  </w:abstractNum>
  <w:abstractNum w:abstractNumId="6">
    <w:nsid w:val="2645A81F"/>
    <w:multiLevelType w:val="singleLevel"/>
    <w:tmpl w:val="2645A81F"/>
    <w:lvl w:ilvl="0" w:tentative="0">
      <w:start w:val="1"/>
      <w:numFmt w:val="chineseCounting"/>
      <w:suff w:val="space"/>
      <w:lvlText w:val="第%1部分"/>
      <w:lvlJc w:val="left"/>
      <w:rPr>
        <w:rFonts w:hint="eastAsia"/>
      </w:rPr>
    </w:lvl>
  </w:abstractNum>
  <w:abstractNum w:abstractNumId="7">
    <w:nsid w:val="55CB91DB"/>
    <w:multiLevelType w:val="singleLevel"/>
    <w:tmpl w:val="55CB91DB"/>
    <w:lvl w:ilvl="0" w:tentative="0">
      <w:start w:val="1"/>
      <w:numFmt w:val="decimal"/>
      <w:suff w:val="space"/>
      <w:lvlText w:val="（%1）"/>
      <w:lvlJc w:val="left"/>
    </w:lvl>
  </w:abstractNum>
  <w:num w:numId="1">
    <w:abstractNumId w:val="4"/>
  </w:num>
  <w:num w:numId="2">
    <w:abstractNumId w:val="3"/>
  </w:num>
  <w:num w:numId="3">
    <w:abstractNumId w:val="5"/>
  </w:num>
  <w:num w:numId="4">
    <w:abstractNumId w:val="2"/>
  </w:num>
  <w:num w:numId="5">
    <w:abstractNumId w:val="6"/>
  </w:num>
  <w:num w:numId="6">
    <w:abstractNumId w:val="0"/>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RiNWM4ZTRkMzMxZWMzM2IxMDc5NzU0Njk3ODNlNzAifQ=="/>
  </w:docVars>
  <w:rsids>
    <w:rsidRoot w:val="6303333B"/>
    <w:rsid w:val="003617E6"/>
    <w:rsid w:val="009B6F8C"/>
    <w:rsid w:val="010975C0"/>
    <w:rsid w:val="01A00DB8"/>
    <w:rsid w:val="02525DCB"/>
    <w:rsid w:val="026B1786"/>
    <w:rsid w:val="026C7A33"/>
    <w:rsid w:val="02AE33A2"/>
    <w:rsid w:val="02CC0525"/>
    <w:rsid w:val="03667C72"/>
    <w:rsid w:val="03CA5C6D"/>
    <w:rsid w:val="03EA6762"/>
    <w:rsid w:val="042F5BEA"/>
    <w:rsid w:val="04361CF6"/>
    <w:rsid w:val="044E37B1"/>
    <w:rsid w:val="04575AAE"/>
    <w:rsid w:val="04CE0F70"/>
    <w:rsid w:val="05AB6AB3"/>
    <w:rsid w:val="05C41B6E"/>
    <w:rsid w:val="05E83D0D"/>
    <w:rsid w:val="064B7047"/>
    <w:rsid w:val="066B1C96"/>
    <w:rsid w:val="06722D09"/>
    <w:rsid w:val="072E01F5"/>
    <w:rsid w:val="07855EE5"/>
    <w:rsid w:val="08894474"/>
    <w:rsid w:val="08F80F83"/>
    <w:rsid w:val="094321B6"/>
    <w:rsid w:val="098A46BA"/>
    <w:rsid w:val="099D0853"/>
    <w:rsid w:val="09A45C60"/>
    <w:rsid w:val="09CE646F"/>
    <w:rsid w:val="09D17CBB"/>
    <w:rsid w:val="09EA50CF"/>
    <w:rsid w:val="0A7F0E46"/>
    <w:rsid w:val="0B4644D6"/>
    <w:rsid w:val="0B542123"/>
    <w:rsid w:val="0B724F56"/>
    <w:rsid w:val="0BCA1BBD"/>
    <w:rsid w:val="0BFA2725"/>
    <w:rsid w:val="0CAC05C5"/>
    <w:rsid w:val="0CBE78F6"/>
    <w:rsid w:val="0DFF5585"/>
    <w:rsid w:val="0E837D5C"/>
    <w:rsid w:val="0F3C6B7A"/>
    <w:rsid w:val="0F3E277E"/>
    <w:rsid w:val="0F817C7F"/>
    <w:rsid w:val="1160140E"/>
    <w:rsid w:val="117B4866"/>
    <w:rsid w:val="11915461"/>
    <w:rsid w:val="124268B7"/>
    <w:rsid w:val="125C296C"/>
    <w:rsid w:val="12E735E0"/>
    <w:rsid w:val="13143247"/>
    <w:rsid w:val="134947B2"/>
    <w:rsid w:val="13972D20"/>
    <w:rsid w:val="13C22CA3"/>
    <w:rsid w:val="13CD4D8B"/>
    <w:rsid w:val="13D6569B"/>
    <w:rsid w:val="13E67435"/>
    <w:rsid w:val="14100CF8"/>
    <w:rsid w:val="14286CBB"/>
    <w:rsid w:val="160D396B"/>
    <w:rsid w:val="16445414"/>
    <w:rsid w:val="1649189C"/>
    <w:rsid w:val="16537779"/>
    <w:rsid w:val="16A36AB3"/>
    <w:rsid w:val="17171557"/>
    <w:rsid w:val="175F17E5"/>
    <w:rsid w:val="17AD5F52"/>
    <w:rsid w:val="19311334"/>
    <w:rsid w:val="1A79617E"/>
    <w:rsid w:val="1AA809A4"/>
    <w:rsid w:val="1AF332F9"/>
    <w:rsid w:val="1B7969CC"/>
    <w:rsid w:val="1BE10B85"/>
    <w:rsid w:val="1BEC58EB"/>
    <w:rsid w:val="1C222CB7"/>
    <w:rsid w:val="1CA132FA"/>
    <w:rsid w:val="1D5B4DAB"/>
    <w:rsid w:val="1E5054CA"/>
    <w:rsid w:val="1E6366E9"/>
    <w:rsid w:val="1E7159F1"/>
    <w:rsid w:val="1E975C3E"/>
    <w:rsid w:val="1ECA7392"/>
    <w:rsid w:val="1EED664D"/>
    <w:rsid w:val="1F4E5FB5"/>
    <w:rsid w:val="1F7268A6"/>
    <w:rsid w:val="203B4370"/>
    <w:rsid w:val="20561A3E"/>
    <w:rsid w:val="20E85154"/>
    <w:rsid w:val="21A97F5D"/>
    <w:rsid w:val="22020D42"/>
    <w:rsid w:val="222B616C"/>
    <w:rsid w:val="22702B51"/>
    <w:rsid w:val="227C1D21"/>
    <w:rsid w:val="22873A3F"/>
    <w:rsid w:val="22965BB2"/>
    <w:rsid w:val="231E732C"/>
    <w:rsid w:val="23626E9E"/>
    <w:rsid w:val="23D15E6F"/>
    <w:rsid w:val="23DB76DF"/>
    <w:rsid w:val="23E925BB"/>
    <w:rsid w:val="23EE4181"/>
    <w:rsid w:val="244C4A5B"/>
    <w:rsid w:val="24924C8F"/>
    <w:rsid w:val="24AF6C54"/>
    <w:rsid w:val="24DE3A8A"/>
    <w:rsid w:val="24EF75A7"/>
    <w:rsid w:val="25394374"/>
    <w:rsid w:val="259D5D30"/>
    <w:rsid w:val="2604634A"/>
    <w:rsid w:val="267506A8"/>
    <w:rsid w:val="274747EB"/>
    <w:rsid w:val="288B4C64"/>
    <w:rsid w:val="28DC605B"/>
    <w:rsid w:val="29BF10BF"/>
    <w:rsid w:val="29C93357"/>
    <w:rsid w:val="29E10344"/>
    <w:rsid w:val="2A4728F0"/>
    <w:rsid w:val="2AB70DB5"/>
    <w:rsid w:val="2AD753D9"/>
    <w:rsid w:val="2B987A16"/>
    <w:rsid w:val="2B9F73A1"/>
    <w:rsid w:val="2CA60F5C"/>
    <w:rsid w:val="2CA73331"/>
    <w:rsid w:val="2D3436B8"/>
    <w:rsid w:val="2DFC73AE"/>
    <w:rsid w:val="2DFE5096"/>
    <w:rsid w:val="2E234DA7"/>
    <w:rsid w:val="2FD9510C"/>
    <w:rsid w:val="302D3CB0"/>
    <w:rsid w:val="307373A7"/>
    <w:rsid w:val="30737D00"/>
    <w:rsid w:val="30753274"/>
    <w:rsid w:val="30797214"/>
    <w:rsid w:val="30C05711"/>
    <w:rsid w:val="32C24615"/>
    <w:rsid w:val="332E24C5"/>
    <w:rsid w:val="33EA1D4E"/>
    <w:rsid w:val="350E769E"/>
    <w:rsid w:val="353B199A"/>
    <w:rsid w:val="359D6D51"/>
    <w:rsid w:val="35B21912"/>
    <w:rsid w:val="35BA13B5"/>
    <w:rsid w:val="36427002"/>
    <w:rsid w:val="37006663"/>
    <w:rsid w:val="3718735B"/>
    <w:rsid w:val="380576AC"/>
    <w:rsid w:val="383E029A"/>
    <w:rsid w:val="38822AC1"/>
    <w:rsid w:val="388D35A1"/>
    <w:rsid w:val="38C500B3"/>
    <w:rsid w:val="38D73850"/>
    <w:rsid w:val="38F165F8"/>
    <w:rsid w:val="395D29A2"/>
    <w:rsid w:val="39756BD2"/>
    <w:rsid w:val="39B91830"/>
    <w:rsid w:val="39C86407"/>
    <w:rsid w:val="39ED5597"/>
    <w:rsid w:val="3A21648F"/>
    <w:rsid w:val="3A267B79"/>
    <w:rsid w:val="3A5B3385"/>
    <w:rsid w:val="3B240E97"/>
    <w:rsid w:val="3BD153C0"/>
    <w:rsid w:val="3C635FA0"/>
    <w:rsid w:val="3CA05E05"/>
    <w:rsid w:val="3D404D37"/>
    <w:rsid w:val="3D6A5ADB"/>
    <w:rsid w:val="3E6E18AE"/>
    <w:rsid w:val="3E7606B0"/>
    <w:rsid w:val="3EA31D52"/>
    <w:rsid w:val="3EFB5853"/>
    <w:rsid w:val="3F3D66CD"/>
    <w:rsid w:val="3F7F098E"/>
    <w:rsid w:val="3FE55FAC"/>
    <w:rsid w:val="40056A49"/>
    <w:rsid w:val="4011055D"/>
    <w:rsid w:val="40170B57"/>
    <w:rsid w:val="40A31D0D"/>
    <w:rsid w:val="40E70C87"/>
    <w:rsid w:val="417425EE"/>
    <w:rsid w:val="41831BF9"/>
    <w:rsid w:val="41B75ADD"/>
    <w:rsid w:val="41EA2E34"/>
    <w:rsid w:val="426C79D4"/>
    <w:rsid w:val="42984A4B"/>
    <w:rsid w:val="429A3B51"/>
    <w:rsid w:val="429C4E56"/>
    <w:rsid w:val="42AA520D"/>
    <w:rsid w:val="42BE1675"/>
    <w:rsid w:val="42BF1B92"/>
    <w:rsid w:val="42CF2B62"/>
    <w:rsid w:val="4302227B"/>
    <w:rsid w:val="4373757C"/>
    <w:rsid w:val="43873B5A"/>
    <w:rsid w:val="43A2687D"/>
    <w:rsid w:val="44FA58F3"/>
    <w:rsid w:val="456707EC"/>
    <w:rsid w:val="45726B7D"/>
    <w:rsid w:val="45757A25"/>
    <w:rsid w:val="45B55914"/>
    <w:rsid w:val="45E06E35"/>
    <w:rsid w:val="46023C90"/>
    <w:rsid w:val="466320DD"/>
    <w:rsid w:val="46683C12"/>
    <w:rsid w:val="4696345C"/>
    <w:rsid w:val="470F78A3"/>
    <w:rsid w:val="47541160"/>
    <w:rsid w:val="476F7C99"/>
    <w:rsid w:val="47CB5A57"/>
    <w:rsid w:val="48F906C8"/>
    <w:rsid w:val="495D7CF3"/>
    <w:rsid w:val="498615B1"/>
    <w:rsid w:val="49920446"/>
    <w:rsid w:val="4AD72235"/>
    <w:rsid w:val="4ADE3D60"/>
    <w:rsid w:val="4B5866BB"/>
    <w:rsid w:val="4B5E02D0"/>
    <w:rsid w:val="4BA402A6"/>
    <w:rsid w:val="4BB153BE"/>
    <w:rsid w:val="4BC7673B"/>
    <w:rsid w:val="4C07336D"/>
    <w:rsid w:val="4C2D000E"/>
    <w:rsid w:val="4C6A25EE"/>
    <w:rsid w:val="4CD4436F"/>
    <w:rsid w:val="4D2910C1"/>
    <w:rsid w:val="4DE66FB2"/>
    <w:rsid w:val="4F0B1ED3"/>
    <w:rsid w:val="4F376BF7"/>
    <w:rsid w:val="4FE17A31"/>
    <w:rsid w:val="506037C2"/>
    <w:rsid w:val="51AF0C60"/>
    <w:rsid w:val="51B836A1"/>
    <w:rsid w:val="52D67CE2"/>
    <w:rsid w:val="53225514"/>
    <w:rsid w:val="53980D4F"/>
    <w:rsid w:val="54311EC9"/>
    <w:rsid w:val="543A7987"/>
    <w:rsid w:val="54C46B9F"/>
    <w:rsid w:val="550C4D95"/>
    <w:rsid w:val="555326DE"/>
    <w:rsid w:val="5571253B"/>
    <w:rsid w:val="55BF00BC"/>
    <w:rsid w:val="55CD036C"/>
    <w:rsid w:val="55F231C8"/>
    <w:rsid w:val="5640122A"/>
    <w:rsid w:val="56F83354"/>
    <w:rsid w:val="579F391A"/>
    <w:rsid w:val="57D93F6B"/>
    <w:rsid w:val="582C1303"/>
    <w:rsid w:val="58426A50"/>
    <w:rsid w:val="58587D80"/>
    <w:rsid w:val="587C6F18"/>
    <w:rsid w:val="587D742F"/>
    <w:rsid w:val="58F05975"/>
    <w:rsid w:val="59291EDE"/>
    <w:rsid w:val="5AFC6067"/>
    <w:rsid w:val="5B532434"/>
    <w:rsid w:val="5B542A22"/>
    <w:rsid w:val="5C98591B"/>
    <w:rsid w:val="5C995D4E"/>
    <w:rsid w:val="5D5D3077"/>
    <w:rsid w:val="5DA85633"/>
    <w:rsid w:val="5DB858CE"/>
    <w:rsid w:val="5DEF178D"/>
    <w:rsid w:val="5F1C16B7"/>
    <w:rsid w:val="5F9342A8"/>
    <w:rsid w:val="5FC07536"/>
    <w:rsid w:val="60B02F1F"/>
    <w:rsid w:val="61A429C0"/>
    <w:rsid w:val="61B718FE"/>
    <w:rsid w:val="628D1982"/>
    <w:rsid w:val="6303333B"/>
    <w:rsid w:val="63165E15"/>
    <w:rsid w:val="63872B56"/>
    <w:rsid w:val="63A5057B"/>
    <w:rsid w:val="63AA400F"/>
    <w:rsid w:val="63B1787B"/>
    <w:rsid w:val="648C7F5F"/>
    <w:rsid w:val="64E9783C"/>
    <w:rsid w:val="650D069A"/>
    <w:rsid w:val="652526C8"/>
    <w:rsid w:val="658D4707"/>
    <w:rsid w:val="65A92F30"/>
    <w:rsid w:val="65DA0DDC"/>
    <w:rsid w:val="661C3E14"/>
    <w:rsid w:val="66834ABD"/>
    <w:rsid w:val="66E0203A"/>
    <w:rsid w:val="677E6F80"/>
    <w:rsid w:val="67CE3A34"/>
    <w:rsid w:val="68A610C0"/>
    <w:rsid w:val="68BA1E76"/>
    <w:rsid w:val="69511253"/>
    <w:rsid w:val="698044A5"/>
    <w:rsid w:val="69903F17"/>
    <w:rsid w:val="699B4C9D"/>
    <w:rsid w:val="6A070584"/>
    <w:rsid w:val="6A7C1DBF"/>
    <w:rsid w:val="6B356FEF"/>
    <w:rsid w:val="6BDD6577"/>
    <w:rsid w:val="6C2F5ADB"/>
    <w:rsid w:val="6C460529"/>
    <w:rsid w:val="6C7E363F"/>
    <w:rsid w:val="6CC34A1C"/>
    <w:rsid w:val="6CF76304"/>
    <w:rsid w:val="6D251D1D"/>
    <w:rsid w:val="6D2F5EB0"/>
    <w:rsid w:val="6D35228E"/>
    <w:rsid w:val="6DEF3809"/>
    <w:rsid w:val="6DF21471"/>
    <w:rsid w:val="6E677B51"/>
    <w:rsid w:val="6EAA539C"/>
    <w:rsid w:val="6F0478FC"/>
    <w:rsid w:val="6F1D19B3"/>
    <w:rsid w:val="6F404ADE"/>
    <w:rsid w:val="6F896F89"/>
    <w:rsid w:val="6FF70359"/>
    <w:rsid w:val="70606FEC"/>
    <w:rsid w:val="70982566"/>
    <w:rsid w:val="70BC1904"/>
    <w:rsid w:val="70DD1E39"/>
    <w:rsid w:val="70E546B3"/>
    <w:rsid w:val="711C5B74"/>
    <w:rsid w:val="713A21D2"/>
    <w:rsid w:val="71473A67"/>
    <w:rsid w:val="71722787"/>
    <w:rsid w:val="71755615"/>
    <w:rsid w:val="72AC6C55"/>
    <w:rsid w:val="732A747F"/>
    <w:rsid w:val="742375AA"/>
    <w:rsid w:val="74480057"/>
    <w:rsid w:val="74777121"/>
    <w:rsid w:val="753B0164"/>
    <w:rsid w:val="757A34CC"/>
    <w:rsid w:val="75D71CBC"/>
    <w:rsid w:val="75E21F54"/>
    <w:rsid w:val="76077CC4"/>
    <w:rsid w:val="76A71125"/>
    <w:rsid w:val="76A9033B"/>
    <w:rsid w:val="76C61E69"/>
    <w:rsid w:val="7700104A"/>
    <w:rsid w:val="770C03DF"/>
    <w:rsid w:val="77490207"/>
    <w:rsid w:val="783A65FE"/>
    <w:rsid w:val="788340F0"/>
    <w:rsid w:val="789E0EDE"/>
    <w:rsid w:val="78CA04D1"/>
    <w:rsid w:val="78DA18D4"/>
    <w:rsid w:val="78E92FE5"/>
    <w:rsid w:val="79FF3C35"/>
    <w:rsid w:val="7AD13F8D"/>
    <w:rsid w:val="7AE25ADA"/>
    <w:rsid w:val="7B0C5DBE"/>
    <w:rsid w:val="7B972E41"/>
    <w:rsid w:val="7B9A1687"/>
    <w:rsid w:val="7B9E6618"/>
    <w:rsid w:val="7C1A7128"/>
    <w:rsid w:val="7D753383"/>
    <w:rsid w:val="7DCE0602"/>
    <w:rsid w:val="7E926217"/>
    <w:rsid w:val="7F066B16"/>
    <w:rsid w:val="7F5D79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803" w:firstLineChars="200"/>
      <w:jc w:val="both"/>
    </w:pPr>
    <w:rPr>
      <w:rFonts w:eastAsia="方正仿宋_GBK" w:asciiTheme="minorAscii" w:hAnsiTheme="minorAscii" w:cstheme="minorBidi"/>
      <w:kern w:val="2"/>
      <w:sz w:val="32"/>
      <w:szCs w:val="22"/>
      <w:lang w:val="en-US" w:eastAsia="zh-CN" w:bidi="ar-SA"/>
    </w:rPr>
  </w:style>
  <w:style w:type="paragraph" w:styleId="3">
    <w:name w:val="heading 1"/>
    <w:next w:val="1"/>
    <w:qFormat/>
    <w:uiPriority w:val="0"/>
    <w:pPr>
      <w:keepNext/>
      <w:keepLines/>
      <w:numPr>
        <w:ilvl w:val="0"/>
        <w:numId w:val="1"/>
      </w:numPr>
      <w:spacing w:beforeLines="0" w:beforeAutospacing="0" w:afterLines="0" w:afterAutospacing="0" w:line="360" w:lineRule="auto"/>
      <w:ind w:left="432" w:hanging="432" w:firstLineChars="0"/>
      <w:jc w:val="left"/>
      <w:outlineLvl w:val="0"/>
    </w:pPr>
    <w:rPr>
      <w:rFonts w:ascii="Times New Roman" w:hAnsi="Times New Roman" w:eastAsia="方正黑体_GBK" w:cstheme="minorBidi"/>
      <w:b/>
      <w:kern w:val="44"/>
      <w:sz w:val="32"/>
    </w:rPr>
  </w:style>
  <w:style w:type="paragraph" w:styleId="4">
    <w:name w:val="heading 3"/>
    <w:basedOn w:val="1"/>
    <w:next w:val="1"/>
    <w:unhideWhenUsed/>
    <w:qFormat/>
    <w:uiPriority w:val="1"/>
    <w:pPr>
      <w:widowControl w:val="0"/>
      <w:jc w:val="both"/>
      <w:outlineLvl w:val="2"/>
    </w:pPr>
    <w:rPr>
      <w:rFonts w:ascii="仿宋_GB2312" w:hAnsi="仿宋_GB2312" w:eastAsia="仿宋_GB2312" w:cs="Times New Roman"/>
      <w:kern w:val="0"/>
      <w:sz w:val="21"/>
      <w:szCs w:val="24"/>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alloon Text"/>
    <w:basedOn w:val="1"/>
    <w:unhideWhenUsed/>
    <w:qFormat/>
    <w:uiPriority w:val="99"/>
    <w:rPr>
      <w:sz w:val="18"/>
      <w:szCs w:val="18"/>
    </w:rPr>
  </w:style>
  <w:style w:type="paragraph" w:styleId="5">
    <w:name w:val="annotation text"/>
    <w:basedOn w:val="1"/>
    <w:qFormat/>
    <w:uiPriority w:val="0"/>
    <w:pPr>
      <w:jc w:val="left"/>
    </w:pPr>
  </w:style>
  <w:style w:type="paragraph" w:styleId="6">
    <w:name w:val="Body Text"/>
    <w:basedOn w:val="1"/>
    <w:next w:val="7"/>
    <w:unhideWhenUsed/>
    <w:qFormat/>
    <w:uiPriority w:val="99"/>
    <w:pPr>
      <w:spacing w:after="120"/>
    </w:pPr>
  </w:style>
  <w:style w:type="paragraph" w:customStyle="1" w:styleId="7">
    <w:name w:val="列出段落1"/>
    <w:basedOn w:val="1"/>
    <w:qFormat/>
    <w:uiPriority w:val="0"/>
    <w:pPr>
      <w:ind w:firstLine="420"/>
    </w:pPr>
    <w:rPr>
      <w:rFonts w:ascii="Times New Roman" w:hAnsi="Times New Roman"/>
    </w:rPr>
  </w:style>
  <w:style w:type="paragraph" w:styleId="8">
    <w:name w:val="Body Text Indent 2"/>
    <w:basedOn w:val="1"/>
    <w:qFormat/>
    <w:uiPriority w:val="99"/>
    <w:pPr>
      <w:widowControl w:val="0"/>
      <w:spacing w:line="540" w:lineRule="exact"/>
      <w:ind w:firstLine="600" w:firstLineChars="200"/>
      <w:jc w:val="both"/>
    </w:pPr>
    <w:rPr>
      <w:rFonts w:ascii="仿宋_GB2312" w:hAnsi="Calibri" w:eastAsia="仿宋_GB2312" w:cs="Times New Roman"/>
      <w:kern w:val="2"/>
      <w:sz w:val="30"/>
      <w:szCs w:val="32"/>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footnote text"/>
    <w:basedOn w:val="1"/>
    <w:qFormat/>
    <w:uiPriority w:val="0"/>
    <w:pPr>
      <w:snapToGrid w:val="0"/>
      <w:jc w:val="left"/>
    </w:pPr>
    <w:rPr>
      <w:sz w:val="18"/>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Title"/>
    <w:basedOn w:val="1"/>
    <w:next w:val="16"/>
    <w:qFormat/>
    <w:uiPriority w:val="10"/>
    <w:pPr>
      <w:widowControl w:val="0"/>
      <w:jc w:val="center"/>
      <w:outlineLvl w:val="0"/>
    </w:pPr>
    <w:rPr>
      <w:rFonts w:ascii="Arial" w:hAnsi="Arial" w:eastAsia="宋体" w:cs="Times New Roman"/>
      <w:b/>
      <w:kern w:val="2"/>
      <w:sz w:val="32"/>
      <w:szCs w:val="20"/>
    </w:rPr>
  </w:style>
  <w:style w:type="paragraph" w:customStyle="1" w:styleId="16">
    <w:name w:val="正文文本缩进1"/>
    <w:basedOn w:val="1"/>
    <w:qFormat/>
    <w:uiPriority w:val="0"/>
    <w:pPr>
      <w:widowControl w:val="0"/>
      <w:spacing w:after="120"/>
      <w:ind w:left="420" w:leftChars="200"/>
      <w:jc w:val="both"/>
    </w:pPr>
    <w:rPr>
      <w:rFonts w:ascii="Times New Roman" w:hAnsi="Times New Roman" w:eastAsia="宋体" w:cs="Times New Roman"/>
      <w:color w:val="auto"/>
      <w:kern w:val="2"/>
      <w:sz w:val="21"/>
      <w:szCs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footnote reference"/>
    <w:basedOn w:val="19"/>
    <w:qFormat/>
    <w:uiPriority w:val="0"/>
    <w:rPr>
      <w:vertAlign w:val="superscript"/>
    </w:rPr>
  </w:style>
  <w:style w:type="paragraph" w:customStyle="1" w:styleId="21">
    <w:name w:val="大标题"/>
    <w:basedOn w:val="1"/>
    <w:qFormat/>
    <w:uiPriority w:val="0"/>
    <w:pPr>
      <w:numPr>
        <w:ilvl w:val="0"/>
        <w:numId w:val="2"/>
      </w:numPr>
      <w:jc w:val="center"/>
    </w:pPr>
    <w:rPr>
      <w:rFonts w:eastAsia="方正小标宋_GBK" w:cs="Times New Roman"/>
      <w:b/>
      <w:sz w:val="44"/>
    </w:rPr>
  </w:style>
  <w:style w:type="paragraph" w:customStyle="1" w:styleId="22">
    <w:name w:val="表内格式"/>
    <w:basedOn w:val="1"/>
    <w:qFormat/>
    <w:uiPriority w:val="0"/>
    <w:pPr>
      <w:spacing w:line="240" w:lineRule="auto"/>
      <w:ind w:firstLine="0" w:firstLineChars="0"/>
      <w:jc w:val="both"/>
    </w:pPr>
    <w:rPr>
      <w:sz w:val="24"/>
    </w:rPr>
  </w:style>
  <w:style w:type="paragraph" w:customStyle="1" w:styleId="23">
    <w:name w:val="表格标题"/>
    <w:basedOn w:val="1"/>
    <w:qFormat/>
    <w:uiPriority w:val="0"/>
    <w:pPr>
      <w:numPr>
        <w:ilvl w:val="0"/>
        <w:numId w:val="3"/>
      </w:numPr>
      <w:spacing w:line="240" w:lineRule="auto"/>
      <w:ind w:left="0" w:firstLine="0" w:firstLineChars="0"/>
      <w:jc w:val="center"/>
    </w:pPr>
    <w:rPr>
      <w:b/>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wmf"/><Relationship Id="rId11" Type="http://schemas.openxmlformats.org/officeDocument/2006/relationships/image" Target="media/image1.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9744</Words>
  <Characters>10447</Characters>
  <Lines>0</Lines>
  <Paragraphs>0</Paragraphs>
  <TotalTime>62</TotalTime>
  <ScaleCrop>false</ScaleCrop>
  <LinksUpToDate>false</LinksUpToDate>
  <CharactersWithSpaces>10527</CharactersWithSpaces>
  <Application>WPS Office_12.8.2.20324_F1E327BC-269C-435d-A152-05C5408002CA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2024-09-23T13:38:00Z</dcterms:created>
  <dc:creator>USER</dc:creator>
  <cp:lastModifiedBy>杨哲</cp:lastModifiedBy>
  <cp:lastPrinted>2026-08-07T02:53:00Z</cp:lastPrinted>
  <dcterms:modified xsi:type="dcterms:W3CDTF">2026-08-13T08:57:36Z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2052-12.8.2.20324</vt:lpwstr>
  </property>
  <property fmtid="{D5CDD505-2E9C-101B-9397-08002B2CF9AE}" pid="3" name="ICV">
    <vt:lpwstr>83BF4B234A454C70B320A75FB708F5F6_13</vt:lpwstr>
  </property>
</Properties>
</file>